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hint="eastAsia"/>
          <w:color w:val="auto"/>
          <w:highlight w:val="none"/>
        </w:rPr>
      </w:pPr>
      <w:bookmarkStart w:id="0" w:name="_Toc30285"/>
      <w:r>
        <w:rPr>
          <w:rFonts w:hint="eastAsia"/>
          <w:color w:val="auto"/>
          <w:highlight w:val="none"/>
        </w:rPr>
        <w:t>重庆三峡银行</w:t>
      </w:r>
      <w:r>
        <w:rPr>
          <w:rFonts w:hint="eastAsia"/>
          <w:color w:val="auto"/>
          <w:highlight w:val="none"/>
          <w:lang w:val="en-US" w:eastAsia="zh-CN"/>
        </w:rPr>
        <w:t>个人客户权益系统</w:t>
      </w:r>
      <w:r>
        <w:rPr>
          <w:rFonts w:hint="eastAsia"/>
          <w:color w:val="auto"/>
          <w:highlight w:val="none"/>
        </w:rPr>
        <w:t>项目</w:t>
      </w:r>
    </w:p>
    <w:p>
      <w:pPr>
        <w:pStyle w:val="3"/>
        <w:rPr>
          <w:color w:val="auto"/>
          <w:highlight w:val="none"/>
        </w:rPr>
      </w:pPr>
      <w:r>
        <w:rPr>
          <w:rFonts w:hint="eastAsia"/>
          <w:color w:val="auto"/>
          <w:highlight w:val="none"/>
        </w:rPr>
        <w:t>询比公告</w:t>
      </w:r>
      <w:bookmarkEnd w:id="0"/>
    </w:p>
    <w:p>
      <w:pPr>
        <w:rPr>
          <w:color w:val="auto"/>
          <w:highlight w:val="none"/>
        </w:rPr>
      </w:pPr>
      <w:bookmarkStart w:id="1" w:name="_Toc89675127"/>
      <w:bookmarkStart w:id="2" w:name="_Toc55379218"/>
      <w:r>
        <w:rPr>
          <w:rFonts w:hint="eastAsia" w:ascii="Times New Roman" w:hAnsi="Times New Roman" w:eastAsia="宋体" w:cs="Cambria Math"/>
          <w:color w:val="auto"/>
          <w:sz w:val="21"/>
          <w:szCs w:val="20"/>
          <w:highlight w:val="none"/>
        </w:rPr>
        <w:t>为持续深化大零售转型，全面提升数字化客户营销运营能力，拟新建个人客户权益系统</w:t>
      </w:r>
      <w:r>
        <w:rPr>
          <w:rFonts w:ascii="Times New Roman" w:hAnsi="Times New Roman" w:eastAsia="宋体" w:cs="Cambria Math"/>
          <w:color w:val="auto"/>
          <w:sz w:val="21"/>
          <w:szCs w:val="20"/>
          <w:highlight w:val="none"/>
        </w:rPr>
        <w:t>项目</w:t>
      </w:r>
      <w:r>
        <w:rPr>
          <w:rFonts w:hint="eastAsia" w:ascii="Times New Roman" w:hAnsi="Times New Roman" w:eastAsia="宋体" w:cs="Cambria Math"/>
          <w:color w:val="auto"/>
          <w:sz w:val="21"/>
          <w:szCs w:val="20"/>
          <w:highlight w:val="none"/>
        </w:rPr>
        <w:t>，</w:t>
      </w:r>
      <w:r>
        <w:rPr>
          <w:rFonts w:hint="eastAsia" w:cs="Cambria Math"/>
          <w:color w:val="auto"/>
          <w:sz w:val="21"/>
          <w:szCs w:val="20"/>
          <w:highlight w:val="none"/>
          <w:lang w:val="en-US" w:eastAsia="zh-CN"/>
        </w:rPr>
        <w:t>提升</w:t>
      </w:r>
      <w:r>
        <w:rPr>
          <w:rFonts w:hint="eastAsia" w:ascii="Times New Roman" w:hAnsi="Times New Roman" w:eastAsia="宋体" w:cs="Cambria Math"/>
          <w:color w:val="auto"/>
          <w:sz w:val="21"/>
          <w:szCs w:val="20"/>
          <w:highlight w:val="none"/>
        </w:rPr>
        <w:t>我行个人客户营销服务能力</w:t>
      </w:r>
      <w:r>
        <w:rPr>
          <w:rFonts w:hint="eastAsia"/>
          <w:color w:val="auto"/>
          <w:highlight w:val="none"/>
        </w:rPr>
        <w:t>。现对</w:t>
      </w:r>
      <w:r>
        <w:rPr>
          <w:rFonts w:hint="eastAsia"/>
          <w:color w:val="auto"/>
          <w:highlight w:val="none"/>
          <w:u w:val="single"/>
        </w:rPr>
        <w:t>重庆三峡银行</w:t>
      </w:r>
      <w:r>
        <w:rPr>
          <w:rFonts w:hint="eastAsia"/>
          <w:color w:val="auto"/>
          <w:highlight w:val="none"/>
          <w:u w:val="single"/>
          <w:lang w:val="en-US" w:eastAsia="zh-CN"/>
        </w:rPr>
        <w:t>个人客户权益系统</w:t>
      </w:r>
      <w:r>
        <w:rPr>
          <w:rFonts w:hint="eastAsia"/>
          <w:color w:val="auto"/>
          <w:highlight w:val="none"/>
          <w:u w:val="single"/>
        </w:rPr>
        <w:t>项目</w:t>
      </w:r>
      <w:r>
        <w:rPr>
          <w:rFonts w:hint="eastAsia"/>
          <w:color w:val="auto"/>
          <w:highlight w:val="none"/>
        </w:rPr>
        <w:t>进行公开询比，</w:t>
      </w:r>
      <w:r>
        <w:rPr>
          <w:color w:val="auto"/>
          <w:highlight w:val="none"/>
        </w:rPr>
        <w:t>特邀请有</w:t>
      </w:r>
      <w:bookmarkStart w:id="3" w:name="_Hlk59455120"/>
      <w:r>
        <w:rPr>
          <w:color w:val="auto"/>
          <w:highlight w:val="none"/>
        </w:rPr>
        <w:t>意向</w:t>
      </w:r>
      <w:bookmarkEnd w:id="3"/>
      <w:r>
        <w:rPr>
          <w:color w:val="auto"/>
          <w:highlight w:val="none"/>
        </w:rPr>
        <w:t>的潜在</w:t>
      </w:r>
      <w:r>
        <w:rPr>
          <w:rFonts w:hint="eastAsia"/>
          <w:color w:val="auto"/>
          <w:highlight w:val="none"/>
        </w:rPr>
        <w:t>响应人参与响应</w:t>
      </w:r>
      <w:r>
        <w:rPr>
          <w:color w:val="auto"/>
          <w:highlight w:val="none"/>
        </w:rPr>
        <w:t>。</w:t>
      </w:r>
    </w:p>
    <w:p>
      <w:pPr>
        <w:pStyle w:val="4"/>
        <w:rPr>
          <w:color w:val="auto"/>
          <w:highlight w:val="none"/>
        </w:rPr>
      </w:pPr>
      <w:r>
        <w:rPr>
          <w:rFonts w:hint="eastAsia"/>
          <w:color w:val="auto"/>
          <w:highlight w:val="none"/>
        </w:rPr>
        <w:t>1. 询比项目内容</w:t>
      </w:r>
      <w:bookmarkEnd w:id="1"/>
      <w:bookmarkEnd w:id="2"/>
    </w:p>
    <w:tbl>
      <w:tblPr>
        <w:tblStyle w:val="9"/>
        <w:tblW w:w="89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3596"/>
        <w:gridCol w:w="1542"/>
        <w:gridCol w:w="1563"/>
        <w:gridCol w:w="1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7" w:type="dxa"/>
            <w:vAlign w:val="center"/>
          </w:tcPr>
          <w:p>
            <w:pPr>
              <w:pStyle w:val="12"/>
              <w:rPr>
                <w:color w:val="auto"/>
                <w:highlight w:val="none"/>
              </w:rPr>
            </w:pPr>
            <w:r>
              <w:rPr>
                <w:rFonts w:hint="eastAsia"/>
                <w:color w:val="auto"/>
                <w:highlight w:val="none"/>
              </w:rPr>
              <w:t>序号</w:t>
            </w:r>
          </w:p>
        </w:tc>
        <w:tc>
          <w:tcPr>
            <w:tcW w:w="3596" w:type="dxa"/>
            <w:vAlign w:val="center"/>
          </w:tcPr>
          <w:p>
            <w:pPr>
              <w:pStyle w:val="12"/>
              <w:rPr>
                <w:color w:val="auto"/>
                <w:highlight w:val="none"/>
              </w:rPr>
            </w:pPr>
            <w:r>
              <w:rPr>
                <w:rFonts w:hint="eastAsia"/>
                <w:color w:val="auto"/>
                <w:highlight w:val="none"/>
              </w:rPr>
              <w:t>项目名称</w:t>
            </w:r>
          </w:p>
        </w:tc>
        <w:tc>
          <w:tcPr>
            <w:tcW w:w="1542" w:type="dxa"/>
            <w:vAlign w:val="center"/>
          </w:tcPr>
          <w:p>
            <w:pPr>
              <w:pStyle w:val="12"/>
              <w:rPr>
                <w:color w:val="auto"/>
                <w:highlight w:val="none"/>
              </w:rPr>
            </w:pPr>
            <w:r>
              <w:rPr>
                <w:rFonts w:hint="eastAsia"/>
                <w:color w:val="auto"/>
                <w:highlight w:val="none"/>
              </w:rPr>
              <w:t>最高限价</w:t>
            </w:r>
          </w:p>
        </w:tc>
        <w:tc>
          <w:tcPr>
            <w:tcW w:w="1563" w:type="dxa"/>
            <w:vAlign w:val="center"/>
          </w:tcPr>
          <w:p>
            <w:pPr>
              <w:pStyle w:val="12"/>
              <w:rPr>
                <w:color w:val="auto"/>
                <w:highlight w:val="none"/>
              </w:rPr>
            </w:pPr>
            <w:r>
              <w:rPr>
                <w:rFonts w:hint="eastAsia"/>
                <w:color w:val="auto"/>
                <w:highlight w:val="none"/>
              </w:rPr>
              <w:t>成交供应商</w:t>
            </w:r>
          </w:p>
          <w:p>
            <w:pPr>
              <w:pStyle w:val="12"/>
              <w:rPr>
                <w:color w:val="auto"/>
                <w:highlight w:val="none"/>
              </w:rPr>
            </w:pPr>
            <w:r>
              <w:rPr>
                <w:rFonts w:hint="eastAsia"/>
                <w:color w:val="auto"/>
                <w:highlight w:val="none"/>
              </w:rPr>
              <w:t>数量</w:t>
            </w:r>
          </w:p>
        </w:tc>
        <w:tc>
          <w:tcPr>
            <w:tcW w:w="1367" w:type="dxa"/>
            <w:vAlign w:val="center"/>
          </w:tcPr>
          <w:p>
            <w:pPr>
              <w:pStyle w:val="12"/>
              <w:rPr>
                <w:color w:val="auto"/>
                <w:highlight w:val="none"/>
              </w:rPr>
            </w:pPr>
            <w:r>
              <w:rPr>
                <w:rFonts w:hint="eastAsia"/>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847" w:type="dxa"/>
            <w:vAlign w:val="center"/>
          </w:tcPr>
          <w:p>
            <w:pPr>
              <w:pStyle w:val="13"/>
              <w:jc w:val="center"/>
              <w:rPr>
                <w:color w:val="auto"/>
                <w:highlight w:val="none"/>
              </w:rPr>
            </w:pPr>
            <w:r>
              <w:rPr>
                <w:rFonts w:hint="eastAsia"/>
                <w:color w:val="auto"/>
                <w:highlight w:val="none"/>
              </w:rPr>
              <w:t>1</w:t>
            </w:r>
          </w:p>
        </w:tc>
        <w:tc>
          <w:tcPr>
            <w:tcW w:w="3596" w:type="dxa"/>
            <w:tcBorders>
              <w:left w:val="single" w:color="auto" w:sz="4" w:space="0"/>
            </w:tcBorders>
            <w:vAlign w:val="center"/>
          </w:tcPr>
          <w:p>
            <w:pPr>
              <w:pStyle w:val="13"/>
              <w:jc w:val="center"/>
              <w:rPr>
                <w:color w:val="auto"/>
                <w:highlight w:val="none"/>
              </w:rPr>
            </w:pPr>
            <w:r>
              <w:rPr>
                <w:color w:val="auto"/>
                <w:highlight w:val="none"/>
              </w:rPr>
              <w:t>重庆三峡银行</w:t>
            </w:r>
            <w:r>
              <w:rPr>
                <w:rFonts w:hint="eastAsia"/>
                <w:color w:val="auto"/>
                <w:highlight w:val="none"/>
                <w:lang w:val="en-US" w:eastAsia="zh-CN"/>
              </w:rPr>
              <w:t>个人客户权益系统</w:t>
            </w:r>
            <w:r>
              <w:rPr>
                <w:color w:val="auto"/>
                <w:highlight w:val="none"/>
                <w:lang w:val="en-US" w:eastAsia="zh-CN"/>
              </w:rPr>
              <w:t>项目</w:t>
            </w:r>
          </w:p>
        </w:tc>
        <w:tc>
          <w:tcPr>
            <w:tcW w:w="1542" w:type="dxa"/>
            <w:tcBorders>
              <w:left w:val="single" w:color="auto" w:sz="4" w:space="0"/>
            </w:tcBorders>
            <w:vAlign w:val="center"/>
          </w:tcPr>
          <w:p>
            <w:pPr>
              <w:pStyle w:val="13"/>
              <w:jc w:val="center"/>
              <w:rPr>
                <w:color w:val="auto"/>
                <w:highlight w:val="none"/>
              </w:rPr>
            </w:pPr>
            <w:r>
              <w:rPr>
                <w:rFonts w:hint="eastAsia"/>
                <w:color w:val="auto"/>
                <w:highlight w:val="none"/>
                <w:lang w:val="en-US" w:eastAsia="zh-CN"/>
              </w:rPr>
              <w:t>1,700,000</w:t>
            </w:r>
            <w:r>
              <w:rPr>
                <w:rFonts w:hint="eastAsia"/>
                <w:color w:val="auto"/>
                <w:highlight w:val="none"/>
              </w:rPr>
              <w:t>元</w:t>
            </w:r>
          </w:p>
        </w:tc>
        <w:tc>
          <w:tcPr>
            <w:tcW w:w="1563" w:type="dxa"/>
            <w:tcBorders>
              <w:left w:val="single" w:color="auto" w:sz="4" w:space="0"/>
            </w:tcBorders>
            <w:vAlign w:val="center"/>
          </w:tcPr>
          <w:p>
            <w:pPr>
              <w:pStyle w:val="13"/>
              <w:jc w:val="center"/>
              <w:rPr>
                <w:rFonts w:hint="eastAsia" w:eastAsia="宋体"/>
                <w:color w:val="auto"/>
                <w:highlight w:val="none"/>
                <w:lang w:val="en-US" w:eastAsia="zh-CN"/>
              </w:rPr>
            </w:pPr>
            <w:r>
              <w:rPr>
                <w:rFonts w:hint="eastAsia"/>
                <w:color w:val="auto"/>
                <w:highlight w:val="none"/>
                <w:lang w:val="en-US" w:eastAsia="zh-CN"/>
              </w:rPr>
              <w:t>1</w:t>
            </w:r>
          </w:p>
        </w:tc>
        <w:tc>
          <w:tcPr>
            <w:tcW w:w="1367" w:type="dxa"/>
            <w:tcBorders>
              <w:left w:val="single" w:color="auto" w:sz="4" w:space="0"/>
            </w:tcBorders>
            <w:vAlign w:val="center"/>
          </w:tcPr>
          <w:p>
            <w:pPr>
              <w:pStyle w:val="13"/>
              <w:jc w:val="center"/>
              <w:rPr>
                <w:color w:val="auto"/>
                <w:highlight w:val="none"/>
              </w:rPr>
            </w:pPr>
            <w:r>
              <w:rPr>
                <w:rFonts w:hint="eastAsia"/>
                <w:color w:val="auto"/>
                <w:highlight w:val="none"/>
              </w:rPr>
              <w:t>含税</w:t>
            </w:r>
          </w:p>
        </w:tc>
      </w:tr>
    </w:tbl>
    <w:p>
      <w:pPr>
        <w:pStyle w:val="4"/>
        <w:rPr>
          <w:color w:val="auto"/>
          <w:highlight w:val="none"/>
        </w:rPr>
      </w:pPr>
      <w:bookmarkStart w:id="4" w:name="_Toc55379219"/>
      <w:bookmarkStart w:id="5" w:name="_Toc288224935"/>
      <w:bookmarkStart w:id="6" w:name="_Toc89675128"/>
      <w:bookmarkStart w:id="7" w:name="_Toc469574664"/>
      <w:bookmarkStart w:id="8" w:name="_Toc297817088"/>
      <w:r>
        <w:rPr>
          <w:rFonts w:hint="eastAsia"/>
          <w:color w:val="auto"/>
          <w:highlight w:val="none"/>
        </w:rPr>
        <w:t>2. 响应人资格要求</w:t>
      </w:r>
      <w:bookmarkEnd w:id="4"/>
      <w:bookmarkEnd w:id="5"/>
      <w:bookmarkEnd w:id="6"/>
      <w:bookmarkEnd w:id="7"/>
      <w:bookmarkEnd w:id="8"/>
    </w:p>
    <w:p>
      <w:pPr>
        <w:rPr>
          <w:color w:val="auto"/>
          <w:highlight w:val="none"/>
        </w:rPr>
      </w:pPr>
      <w:bookmarkStart w:id="9" w:name="_Hlk55488870"/>
      <w:r>
        <w:rPr>
          <w:rFonts w:hint="eastAsia"/>
          <w:color w:val="auto"/>
          <w:highlight w:val="none"/>
        </w:rPr>
        <w:t>2.1 具有独立承担民事责任的能力</w:t>
      </w:r>
    </w:p>
    <w:p>
      <w:pPr>
        <w:rPr>
          <w:color w:val="auto"/>
          <w:highlight w:val="none"/>
        </w:rPr>
      </w:pPr>
      <w:r>
        <w:rPr>
          <w:rFonts w:hint="eastAsia"/>
          <w:color w:val="auto"/>
          <w:highlight w:val="none"/>
        </w:rPr>
        <w:t>【提供：1、响应人有效营业执照（副本）或事业单位法人证书（副本）或个体工商户营业执照或有效的自然人身份证明；2、响应人法定代表人身份证明；3、法定代表人授权委托书（如有，适用于有委托代理人的情况时采用）。】</w:t>
      </w:r>
    </w:p>
    <w:p>
      <w:pPr>
        <w:rPr>
          <w:color w:val="auto"/>
          <w:highlight w:val="none"/>
        </w:rPr>
      </w:pPr>
      <w:r>
        <w:rPr>
          <w:rFonts w:hint="eastAsia"/>
          <w:color w:val="auto"/>
          <w:highlight w:val="none"/>
        </w:rPr>
        <w:t>2.2 响应人应具有良好的商业信誉和健全的财务会计制度，具有履行合同所必需的设备和专业技术能力，有依法缴纳税收和社会保障金的良好记录，三年内在经营活动中没有重大违法记录【提供书面声明】；</w:t>
      </w:r>
    </w:p>
    <w:p>
      <w:pPr>
        <w:rPr>
          <w:color w:val="auto"/>
          <w:highlight w:val="none"/>
        </w:rPr>
      </w:pPr>
      <w:r>
        <w:rPr>
          <w:rFonts w:hint="eastAsia"/>
          <w:color w:val="auto"/>
          <w:highlight w:val="none"/>
        </w:rPr>
        <w:t>2.3 本项目不允许任何形式的转包【提供书面声明】。</w:t>
      </w:r>
    </w:p>
    <w:p>
      <w:pPr>
        <w:rPr>
          <w:color w:val="auto"/>
          <w:highlight w:val="none"/>
        </w:rPr>
      </w:pPr>
      <w:r>
        <w:rPr>
          <w:rFonts w:hint="eastAsia"/>
          <w:color w:val="auto"/>
          <w:highlight w:val="none"/>
        </w:rPr>
        <w:t>2.4 法人及法定代表人没有被人民法院列为失信被执行人名单【提供：1、法人在</w:t>
      </w:r>
      <w:r>
        <w:rPr>
          <w:color w:val="auto"/>
          <w:highlight w:val="none"/>
        </w:rPr>
        <w:t>中国执行信息公开网</w:t>
      </w:r>
      <w:r>
        <w:rPr>
          <w:rFonts w:hint="eastAsia"/>
          <w:color w:val="auto"/>
          <w:highlight w:val="none"/>
        </w:rPr>
        <w:t>（中国执行信息公开网网址：https://zxgk.court.gov.cn/）的查询</w:t>
      </w:r>
      <w:r>
        <w:rPr>
          <w:color w:val="auto"/>
          <w:highlight w:val="none"/>
        </w:rPr>
        <w:t>截图</w:t>
      </w:r>
      <w:r>
        <w:rPr>
          <w:rFonts w:hint="eastAsia"/>
          <w:color w:val="auto"/>
          <w:highlight w:val="none"/>
        </w:rPr>
        <w:t>并加盖单位鲜章；2、法定代表人在</w:t>
      </w:r>
      <w:r>
        <w:rPr>
          <w:color w:val="auto"/>
          <w:highlight w:val="none"/>
        </w:rPr>
        <w:t>中国执行信息公开网</w:t>
      </w:r>
      <w:r>
        <w:rPr>
          <w:rFonts w:hint="eastAsia"/>
          <w:color w:val="auto"/>
          <w:highlight w:val="none"/>
        </w:rPr>
        <w:t>的查询</w:t>
      </w:r>
      <w:r>
        <w:rPr>
          <w:color w:val="auto"/>
          <w:highlight w:val="none"/>
        </w:rPr>
        <w:t>截图</w:t>
      </w:r>
      <w:r>
        <w:rPr>
          <w:rFonts w:hint="eastAsia"/>
          <w:color w:val="auto"/>
          <w:highlight w:val="none"/>
        </w:rPr>
        <w:t>并加盖单位鲜章】；</w:t>
      </w:r>
    </w:p>
    <w:p>
      <w:pPr>
        <w:rPr>
          <w:color w:val="auto"/>
          <w:highlight w:val="none"/>
        </w:rPr>
      </w:pPr>
      <w:r>
        <w:rPr>
          <w:rFonts w:hint="eastAsia"/>
          <w:color w:val="auto"/>
          <w:highlight w:val="none"/>
        </w:rPr>
        <w:t>2.5 本次询比不接受联合体响应。</w:t>
      </w:r>
    </w:p>
    <w:p>
      <w:pPr>
        <w:rPr>
          <w:color w:val="auto"/>
          <w:highlight w:val="none"/>
        </w:rPr>
      </w:pPr>
      <w:r>
        <w:rPr>
          <w:rFonts w:hint="eastAsia"/>
          <w:color w:val="auto"/>
          <w:highlight w:val="none"/>
        </w:rPr>
        <w:t xml:space="preserve">2.6 </w:t>
      </w:r>
      <w:r>
        <w:rPr>
          <w:rFonts w:hint="eastAsia"/>
          <w:color w:val="auto"/>
          <w:highlight w:val="none"/>
          <w:lang w:val="en-US" w:eastAsia="zh-CN"/>
        </w:rPr>
        <w:t>2022</w:t>
      </w:r>
      <w:r>
        <w:rPr>
          <w:rFonts w:hint="eastAsia"/>
          <w:color w:val="auto"/>
          <w:highlight w:val="none"/>
        </w:rPr>
        <w:t>年</w:t>
      </w:r>
      <w:r>
        <w:rPr>
          <w:rFonts w:hint="eastAsia"/>
          <w:color w:val="auto"/>
          <w:highlight w:val="none"/>
          <w:lang w:val="en-US" w:eastAsia="zh-CN"/>
        </w:rPr>
        <w:t>1</w:t>
      </w:r>
      <w:r>
        <w:rPr>
          <w:rFonts w:hint="eastAsia"/>
          <w:color w:val="auto"/>
          <w:highlight w:val="none"/>
        </w:rPr>
        <w:t>月</w:t>
      </w:r>
      <w:r>
        <w:rPr>
          <w:rFonts w:hint="eastAsia"/>
          <w:color w:val="auto"/>
          <w:highlight w:val="none"/>
          <w:lang w:val="en-US" w:eastAsia="zh-CN"/>
        </w:rPr>
        <w:t>1</w:t>
      </w:r>
      <w:r>
        <w:rPr>
          <w:rFonts w:hint="eastAsia"/>
          <w:color w:val="auto"/>
          <w:highlight w:val="none"/>
        </w:rPr>
        <w:t>日至</w:t>
      </w:r>
      <w:r>
        <w:rPr>
          <w:color w:val="auto"/>
          <w:highlight w:val="none"/>
        </w:rPr>
        <w:t>响应截止日期</w:t>
      </w:r>
      <w:r>
        <w:rPr>
          <w:rFonts w:hint="eastAsia"/>
          <w:color w:val="auto"/>
          <w:highlight w:val="none"/>
        </w:rPr>
        <w:t>（以合同签订时间为准），响应人须同时具备以下条件：</w:t>
      </w:r>
      <w:r>
        <w:rPr>
          <w:rFonts w:hint="eastAsia" w:ascii="宋体" w:hAnsi="宋体" w:cs="宋体"/>
          <w:color w:val="auto"/>
          <w:highlight w:val="none"/>
        </w:rPr>
        <w:t>①</w:t>
      </w:r>
      <w:r>
        <w:rPr>
          <w:rFonts w:hint="eastAsia"/>
          <w:color w:val="auto"/>
          <w:highlight w:val="none"/>
        </w:rPr>
        <w:t>至少有</w:t>
      </w:r>
      <w:r>
        <w:rPr>
          <w:rFonts w:hint="eastAsia"/>
          <w:color w:val="auto"/>
          <w:highlight w:val="none"/>
          <w:lang w:val="en-US" w:eastAsia="zh-CN"/>
        </w:rPr>
        <w:t>1</w:t>
      </w:r>
      <w:r>
        <w:rPr>
          <w:rFonts w:hint="eastAsia"/>
          <w:color w:val="auto"/>
          <w:highlight w:val="none"/>
        </w:rPr>
        <w:t>个国内银行业</w:t>
      </w:r>
      <w:r>
        <w:rPr>
          <w:color w:val="auto"/>
          <w:highlight w:val="none"/>
        </w:rPr>
        <w:t>（含</w:t>
      </w:r>
      <w:r>
        <w:rPr>
          <w:rFonts w:hint="eastAsia"/>
          <w:color w:val="auto"/>
          <w:highlight w:val="none"/>
        </w:rPr>
        <w:t>国有大型商业银行总行或省市分行、全国性股份制商业、城市商业银行、农村商业银行</w:t>
      </w:r>
      <w:r>
        <w:rPr>
          <w:color w:val="auto"/>
          <w:highlight w:val="none"/>
        </w:rPr>
        <w:t>，下同）</w:t>
      </w:r>
      <w:r>
        <w:rPr>
          <w:rFonts w:hint="eastAsia"/>
          <w:color w:val="auto"/>
          <w:highlight w:val="none"/>
          <w:lang w:val="en-US" w:eastAsia="zh-CN"/>
        </w:rPr>
        <w:t>个人客户权益系统</w:t>
      </w:r>
      <w:r>
        <w:rPr>
          <w:color w:val="auto"/>
          <w:highlight w:val="none"/>
          <w:lang w:val="en-US" w:eastAsia="zh-CN"/>
        </w:rPr>
        <w:t>项目（</w:t>
      </w:r>
      <w:r>
        <w:rPr>
          <w:rFonts w:hint="eastAsia"/>
          <w:color w:val="auto"/>
          <w:highlight w:val="none"/>
        </w:rPr>
        <w:t>合同名称或合同内容需包含“积分系统”</w:t>
      </w:r>
      <w:r>
        <w:rPr>
          <w:color w:val="auto"/>
          <w:highlight w:val="none"/>
        </w:rPr>
        <w:t>、</w:t>
      </w:r>
      <w:r>
        <w:rPr>
          <w:rFonts w:hint="eastAsia"/>
          <w:color w:val="auto"/>
          <w:highlight w:val="none"/>
        </w:rPr>
        <w:t>“权益平台”“权益服务平台”</w:t>
      </w:r>
      <w:r>
        <w:rPr>
          <w:color w:val="auto"/>
          <w:highlight w:val="none"/>
        </w:rPr>
        <w:t>、</w:t>
      </w:r>
      <w:r>
        <w:rPr>
          <w:rFonts w:hint="eastAsia"/>
          <w:color w:val="auto"/>
          <w:highlight w:val="none"/>
        </w:rPr>
        <w:t>“积分权益系统”等关键字，或经评标委员会认定其实质性工作内容与上述相关关键字相符</w:t>
      </w:r>
      <w:r>
        <w:rPr>
          <w:color w:val="auto"/>
          <w:highlight w:val="none"/>
        </w:rPr>
        <w:t>，下同</w:t>
      </w:r>
      <w:r>
        <w:rPr>
          <w:color w:val="auto"/>
          <w:highlight w:val="none"/>
          <w:lang w:val="en-US" w:eastAsia="zh-CN"/>
        </w:rPr>
        <w:t>）</w:t>
      </w:r>
      <w:r>
        <w:rPr>
          <w:rFonts w:hint="eastAsia"/>
          <w:color w:val="auto"/>
          <w:highlight w:val="none"/>
        </w:rPr>
        <w:t>且信创相关实施案例；</w:t>
      </w:r>
      <w:r>
        <w:rPr>
          <w:rFonts w:hint="eastAsia" w:ascii="宋体" w:hAnsi="宋体" w:cs="宋体"/>
          <w:color w:val="auto"/>
          <w:highlight w:val="none"/>
        </w:rPr>
        <w:t>②国内银行业</w:t>
      </w:r>
      <w:r>
        <w:rPr>
          <w:rFonts w:hint="eastAsia"/>
          <w:color w:val="auto"/>
          <w:highlight w:val="none"/>
          <w:lang w:val="en-US" w:eastAsia="zh-CN"/>
        </w:rPr>
        <w:t>个人客户权益系统</w:t>
      </w:r>
      <w:r>
        <w:rPr>
          <w:color w:val="auto"/>
          <w:highlight w:val="none"/>
          <w:lang w:val="en-US" w:eastAsia="zh-CN"/>
        </w:rPr>
        <w:t>项目</w:t>
      </w:r>
      <w:r>
        <w:rPr>
          <w:rFonts w:hint="eastAsia"/>
          <w:color w:val="auto"/>
          <w:highlight w:val="none"/>
        </w:rPr>
        <w:t>总案例数不得少于3个（含）。没有上述相关实施案例的取消</w:t>
      </w:r>
      <w:r>
        <w:rPr>
          <w:color w:val="auto"/>
          <w:highlight w:val="none"/>
        </w:rPr>
        <w:t>响应</w:t>
      </w:r>
      <w:r>
        <w:rPr>
          <w:rFonts w:hint="eastAsia"/>
          <w:color w:val="auto"/>
          <w:highlight w:val="none"/>
        </w:rPr>
        <w:t>资质。【提供：1、合同关键页（合同关键页</w:t>
      </w:r>
      <w:r>
        <w:rPr>
          <w:color w:val="auto"/>
          <w:highlight w:val="none"/>
        </w:rPr>
        <w:t>包含：甲乙双方名称、双方印章、项目名称、合同签订时间</w:t>
      </w:r>
      <w:r>
        <w:rPr>
          <w:rFonts w:hint="eastAsia"/>
          <w:color w:val="auto"/>
          <w:highlight w:val="none"/>
        </w:rPr>
        <w:t>、服务范围。）；2、项目简介（格式自拟）；3、合同对应的发票之一（网上税务系统查询</w:t>
      </w:r>
      <w:r>
        <w:rPr>
          <w:color w:val="auto"/>
          <w:highlight w:val="none"/>
        </w:rPr>
        <w:t>（https://inv-veri.chinatax.gov.cn/）</w:t>
      </w:r>
      <w:r>
        <w:rPr>
          <w:rFonts w:hint="eastAsia"/>
          <w:color w:val="auto"/>
          <w:highlight w:val="none"/>
        </w:rPr>
        <w:t>该发票的截图，发票开具日期须晚于合同签订日期、发票购买方须与合同买方一致、发票销售方须与合同卖方（响应人）一致）。】</w:t>
      </w:r>
    </w:p>
    <w:p>
      <w:pPr>
        <w:rPr>
          <w:color w:val="auto"/>
          <w:highlight w:val="none"/>
        </w:rPr>
      </w:pPr>
      <w:r>
        <w:rPr>
          <w:rFonts w:hint="eastAsia"/>
          <w:color w:val="auto"/>
          <w:highlight w:val="none"/>
        </w:rPr>
        <w:t xml:space="preserve">2.7 </w:t>
      </w:r>
      <w:bookmarkStart w:id="10" w:name="_Hlk47356067"/>
      <w:r>
        <w:rPr>
          <w:rFonts w:hint="eastAsia"/>
          <w:color w:val="auto"/>
          <w:highlight w:val="none"/>
        </w:rPr>
        <w:t>响应人须具有本次询比内容所涉及的第三方软件代理资格（含开源软件的合法授权），取得本次询比内容所涉及的第三方软件产品的原厂商授权书或确认函（如不涉及第三方软件，则该条不适用）</w:t>
      </w:r>
      <w:bookmarkEnd w:id="10"/>
      <w:r>
        <w:rPr>
          <w:rFonts w:hint="eastAsia"/>
          <w:color w:val="auto"/>
          <w:highlight w:val="none"/>
        </w:rPr>
        <w:t>。【代理资格提供第三方软件产品的原厂商授权书或确认函】</w:t>
      </w:r>
    </w:p>
    <w:p>
      <w:pPr>
        <w:rPr>
          <w:color w:val="auto"/>
          <w:highlight w:val="none"/>
        </w:rPr>
      </w:pPr>
      <w:r>
        <w:rPr>
          <w:rFonts w:hint="eastAsia"/>
          <w:color w:val="auto"/>
          <w:highlight w:val="none"/>
        </w:rPr>
        <w:t>2.</w:t>
      </w:r>
      <w:r>
        <w:rPr>
          <w:color w:val="auto"/>
          <w:highlight w:val="none"/>
        </w:rPr>
        <w:t>8</w:t>
      </w:r>
      <w:r>
        <w:rPr>
          <w:rFonts w:hint="eastAsia"/>
          <w:color w:val="auto"/>
          <w:highlight w:val="none"/>
        </w:rPr>
        <w:t xml:space="preserve"> 响应人注册成立时间不少于3年，且近3年财务状况稳定【注册成立时间提供营业执照；财务状况提供书面声明】；</w:t>
      </w:r>
    </w:p>
    <w:p>
      <w:pPr>
        <w:rPr>
          <w:color w:val="auto"/>
          <w:highlight w:val="none"/>
        </w:rPr>
      </w:pPr>
      <w:r>
        <w:rPr>
          <w:rFonts w:hint="eastAsia"/>
          <w:color w:val="auto"/>
          <w:highlight w:val="none"/>
        </w:rPr>
        <w:t>注:以上证明文件若采购人存疑，响应人需提供原件备查，响应文件中须附相关证明文件复印件并逐页加盖公章。</w:t>
      </w:r>
    </w:p>
    <w:p>
      <w:pPr>
        <w:rPr>
          <w:color w:val="auto"/>
          <w:highlight w:val="none"/>
        </w:rPr>
      </w:pPr>
      <w:r>
        <w:rPr>
          <w:rFonts w:hint="eastAsia"/>
          <w:color w:val="auto"/>
          <w:highlight w:val="none"/>
        </w:rPr>
        <w:t>本次询比不接受曾因响应人的违约行为与采购人发生过纠纷的响应人；</w:t>
      </w:r>
      <w:r>
        <w:rPr>
          <w:color w:val="auto"/>
          <w:highlight w:val="none"/>
        </w:rPr>
        <w:t>不接受</w:t>
      </w:r>
      <w:r>
        <w:rPr>
          <w:rFonts w:hint="eastAsia"/>
          <w:color w:val="auto"/>
          <w:highlight w:val="none"/>
        </w:rPr>
        <w:t>与采购人合作过程中不遵守询比文件及合同约定的响应人；</w:t>
      </w:r>
      <w:r>
        <w:rPr>
          <w:color w:val="auto"/>
          <w:highlight w:val="none"/>
        </w:rPr>
        <w:t>不接受</w:t>
      </w:r>
      <w:r>
        <w:rPr>
          <w:rFonts w:hint="eastAsia"/>
          <w:color w:val="auto"/>
          <w:highlight w:val="none"/>
        </w:rPr>
        <w:t>曾在采购人项目</w:t>
      </w:r>
      <w:r>
        <w:rPr>
          <w:color w:val="auto"/>
          <w:highlight w:val="none"/>
        </w:rPr>
        <w:t>中存在</w:t>
      </w:r>
      <w:r>
        <w:rPr>
          <w:rFonts w:hint="eastAsia"/>
          <w:color w:val="auto"/>
          <w:highlight w:val="none"/>
        </w:rPr>
        <w:t>弄虚作假行为的响应人</w:t>
      </w:r>
      <w:r>
        <w:rPr>
          <w:color w:val="auto"/>
          <w:highlight w:val="none"/>
        </w:rPr>
        <w:t>。若</w:t>
      </w:r>
      <w:r>
        <w:rPr>
          <w:rFonts w:hint="eastAsia"/>
          <w:color w:val="auto"/>
          <w:highlight w:val="none"/>
        </w:rPr>
        <w:t>响应人</w:t>
      </w:r>
      <w:r>
        <w:rPr>
          <w:color w:val="auto"/>
          <w:highlight w:val="none"/>
        </w:rPr>
        <w:t>存在上述情况，</w:t>
      </w:r>
      <w:r>
        <w:rPr>
          <w:rFonts w:hint="eastAsia"/>
          <w:color w:val="auto"/>
          <w:highlight w:val="none"/>
        </w:rPr>
        <w:t>采购人将</w:t>
      </w:r>
      <w:r>
        <w:rPr>
          <w:color w:val="auto"/>
          <w:highlight w:val="none"/>
        </w:rPr>
        <w:t>有权</w:t>
      </w:r>
      <w:r>
        <w:rPr>
          <w:rFonts w:hint="eastAsia"/>
          <w:color w:val="auto"/>
          <w:highlight w:val="none"/>
        </w:rPr>
        <w:t>随时</w:t>
      </w:r>
      <w:r>
        <w:rPr>
          <w:color w:val="auto"/>
          <w:highlight w:val="none"/>
        </w:rPr>
        <w:t>取消其</w:t>
      </w:r>
      <w:r>
        <w:rPr>
          <w:rFonts w:hint="eastAsia"/>
          <w:color w:val="auto"/>
          <w:highlight w:val="none"/>
        </w:rPr>
        <w:t>响应</w:t>
      </w:r>
      <w:r>
        <w:rPr>
          <w:color w:val="auto"/>
          <w:highlight w:val="none"/>
        </w:rPr>
        <w:t>资格或</w:t>
      </w:r>
      <w:r>
        <w:rPr>
          <w:rFonts w:hint="eastAsia"/>
          <w:color w:val="auto"/>
          <w:highlight w:val="none"/>
        </w:rPr>
        <w:t>成交</w:t>
      </w:r>
      <w:r>
        <w:rPr>
          <w:color w:val="auto"/>
          <w:highlight w:val="none"/>
        </w:rPr>
        <w:t>资格（</w:t>
      </w:r>
      <w:r>
        <w:rPr>
          <w:rFonts w:hint="eastAsia"/>
          <w:color w:val="auto"/>
          <w:highlight w:val="none"/>
        </w:rPr>
        <w:t>若</w:t>
      </w:r>
      <w:r>
        <w:rPr>
          <w:color w:val="auto"/>
          <w:highlight w:val="none"/>
        </w:rPr>
        <w:t>签署合同后发现的则有权解除合同）</w:t>
      </w:r>
      <w:r>
        <w:rPr>
          <w:rFonts w:hint="eastAsia"/>
          <w:color w:val="auto"/>
          <w:highlight w:val="none"/>
        </w:rPr>
        <w:t>，没收</w:t>
      </w:r>
      <w:r>
        <w:rPr>
          <w:color w:val="auto"/>
          <w:highlight w:val="none"/>
        </w:rPr>
        <w:t>其</w:t>
      </w:r>
      <w:r>
        <w:rPr>
          <w:rFonts w:hint="eastAsia"/>
          <w:color w:val="auto"/>
          <w:highlight w:val="none"/>
        </w:rPr>
        <w:t>响应保证金</w:t>
      </w:r>
      <w:r>
        <w:rPr>
          <w:color w:val="auto"/>
          <w:highlight w:val="none"/>
        </w:rPr>
        <w:t>，并追究其相应的法律责任。</w:t>
      </w:r>
      <w:r>
        <w:rPr>
          <w:rFonts w:hint="eastAsia"/>
          <w:color w:val="auto"/>
          <w:highlight w:val="none"/>
        </w:rPr>
        <w:t>截至</w:t>
      </w:r>
      <w:r>
        <w:rPr>
          <w:color w:val="auto"/>
          <w:highlight w:val="none"/>
        </w:rPr>
        <w:t>挂网日，</w:t>
      </w:r>
      <w:r>
        <w:rPr>
          <w:rFonts w:hint="eastAsia"/>
          <w:color w:val="auto"/>
          <w:highlight w:val="none"/>
        </w:rPr>
        <w:t>存在</w:t>
      </w:r>
      <w:r>
        <w:rPr>
          <w:color w:val="auto"/>
          <w:highlight w:val="none"/>
        </w:rPr>
        <w:t>上述情况的公司</w:t>
      </w:r>
      <w:r>
        <w:rPr>
          <w:rFonts w:hint="eastAsia"/>
          <w:color w:val="auto"/>
          <w:highlight w:val="none"/>
        </w:rPr>
        <w:t>已纳入</w:t>
      </w:r>
      <w:r>
        <w:rPr>
          <w:color w:val="auto"/>
          <w:highlight w:val="none"/>
        </w:rPr>
        <w:t>下列清单</w:t>
      </w:r>
      <w:r>
        <w:rPr>
          <w:rFonts w:hint="eastAsia"/>
          <w:color w:val="auto"/>
          <w:highlight w:val="none"/>
        </w:rPr>
        <w:t>。</w:t>
      </w:r>
    </w:p>
    <w:tbl>
      <w:tblPr>
        <w:tblStyle w:val="9"/>
        <w:tblW w:w="6459" w:type="dxa"/>
        <w:tblInd w:w="10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4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 w:hRule="atLeast"/>
        </w:trPr>
        <w:tc>
          <w:tcPr>
            <w:tcW w:w="1526" w:type="dxa"/>
            <w:vAlign w:val="center"/>
          </w:tcPr>
          <w:p>
            <w:pPr>
              <w:pStyle w:val="12"/>
              <w:jc w:val="center"/>
              <w:rPr>
                <w:color w:val="auto"/>
                <w:highlight w:val="none"/>
              </w:rPr>
            </w:pPr>
            <w:r>
              <w:rPr>
                <w:rFonts w:hint="eastAsia"/>
                <w:color w:val="auto"/>
                <w:highlight w:val="none"/>
              </w:rPr>
              <w:t>序号</w:t>
            </w:r>
          </w:p>
        </w:tc>
        <w:tc>
          <w:tcPr>
            <w:tcW w:w="4933" w:type="dxa"/>
            <w:vAlign w:val="center"/>
          </w:tcPr>
          <w:p>
            <w:pPr>
              <w:pStyle w:val="12"/>
              <w:jc w:val="center"/>
              <w:rPr>
                <w:color w:val="auto"/>
                <w:highlight w:val="none"/>
              </w:rPr>
            </w:pPr>
            <w:r>
              <w:rPr>
                <w:rFonts w:hint="eastAsia"/>
                <w:color w:val="auto"/>
                <w:highlight w:val="none"/>
              </w:rPr>
              <w:t>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526" w:type="dxa"/>
            <w:vAlign w:val="center"/>
          </w:tcPr>
          <w:p>
            <w:pPr>
              <w:pStyle w:val="13"/>
              <w:jc w:val="center"/>
              <w:rPr>
                <w:color w:val="auto"/>
                <w:highlight w:val="none"/>
              </w:rPr>
            </w:pPr>
            <w:r>
              <w:rPr>
                <w:rFonts w:hint="eastAsia" w:cs="宋体"/>
                <w:color w:val="auto"/>
                <w:szCs w:val="21"/>
                <w:highlight w:val="none"/>
              </w:rPr>
              <w:t>1</w:t>
            </w:r>
          </w:p>
        </w:tc>
        <w:tc>
          <w:tcPr>
            <w:tcW w:w="4933" w:type="dxa"/>
            <w:tcBorders>
              <w:left w:val="single" w:color="auto" w:sz="4" w:space="0"/>
            </w:tcBorders>
            <w:vAlign w:val="center"/>
          </w:tcPr>
          <w:p>
            <w:pPr>
              <w:pStyle w:val="13"/>
              <w:jc w:val="center"/>
              <w:rPr>
                <w:color w:val="auto"/>
                <w:highlight w:val="none"/>
              </w:rPr>
            </w:pPr>
            <w:r>
              <w:rPr>
                <w:rFonts w:hint="eastAsia" w:cs="宋体"/>
                <w:color w:val="auto"/>
                <w:szCs w:val="21"/>
                <w:highlight w:val="none"/>
              </w:rPr>
              <w:t>依米康软件技术（深圳）有限责任公司</w:t>
            </w:r>
          </w:p>
        </w:tc>
      </w:tr>
    </w:tbl>
    <w:p>
      <w:pPr>
        <w:rPr>
          <w:color w:val="auto"/>
          <w:highlight w:val="none"/>
        </w:rPr>
      </w:pPr>
    </w:p>
    <w:bookmarkEnd w:id="9"/>
    <w:p>
      <w:pPr>
        <w:pStyle w:val="4"/>
        <w:rPr>
          <w:color w:val="auto"/>
          <w:highlight w:val="none"/>
        </w:rPr>
      </w:pPr>
      <w:bookmarkStart w:id="11" w:name="_Toc55379220"/>
      <w:bookmarkStart w:id="12" w:name="_Toc469574667"/>
      <w:bookmarkStart w:id="13" w:name="_Toc297817090"/>
      <w:bookmarkStart w:id="14" w:name="_Toc89675130"/>
      <w:r>
        <w:rPr>
          <w:rFonts w:hint="eastAsia"/>
          <w:color w:val="auto"/>
          <w:highlight w:val="none"/>
        </w:rPr>
        <w:t>3. 询比文件的获取</w:t>
      </w:r>
      <w:bookmarkEnd w:id="11"/>
    </w:p>
    <w:p>
      <w:pPr>
        <w:rPr>
          <w:color w:val="auto"/>
          <w:highlight w:val="none"/>
        </w:rPr>
      </w:pPr>
      <w:r>
        <w:rPr>
          <w:rFonts w:hint="eastAsia"/>
          <w:color w:val="auto"/>
          <w:highlight w:val="none"/>
        </w:rPr>
        <w:t>3.1 响应截止时间：</w:t>
      </w:r>
      <w:r>
        <w:rPr>
          <w:rFonts w:hint="eastAsia"/>
          <w:color w:val="auto"/>
          <w:highlight w:val="none"/>
          <w:u w:val="single"/>
          <w:lang w:val="en-US" w:eastAsia="zh-CN"/>
        </w:rPr>
        <w:t>2025</w:t>
      </w:r>
      <w:r>
        <w:rPr>
          <w:rFonts w:hint="eastAsia"/>
          <w:color w:val="auto"/>
          <w:highlight w:val="none"/>
        </w:rPr>
        <w:t>年</w:t>
      </w:r>
      <w:r>
        <w:rPr>
          <w:rFonts w:hint="eastAsia"/>
          <w:color w:val="auto"/>
          <w:highlight w:val="none"/>
          <w:u w:val="single"/>
          <w:lang w:val="en-US" w:eastAsia="zh-CN"/>
        </w:rPr>
        <w:t>9</w:t>
      </w:r>
      <w:r>
        <w:rPr>
          <w:rFonts w:hint="eastAsia"/>
          <w:color w:val="auto"/>
          <w:highlight w:val="none"/>
        </w:rPr>
        <w:t>月</w:t>
      </w:r>
      <w:r>
        <w:rPr>
          <w:rFonts w:hint="eastAsia"/>
          <w:color w:val="auto"/>
          <w:highlight w:val="none"/>
          <w:u w:val="single"/>
          <w:lang w:val="en-US" w:eastAsia="zh-CN"/>
        </w:rPr>
        <w:t>25</w:t>
      </w:r>
      <w:r>
        <w:rPr>
          <w:rFonts w:hint="eastAsia"/>
          <w:color w:val="auto"/>
          <w:highlight w:val="none"/>
        </w:rPr>
        <w:t>日</w:t>
      </w:r>
      <w:r>
        <w:rPr>
          <w:rFonts w:hint="eastAsia"/>
          <w:color w:val="auto"/>
          <w:highlight w:val="none"/>
          <w:u w:val="single"/>
          <w:lang w:val="en-US" w:eastAsia="zh-CN"/>
        </w:rPr>
        <w:t>9</w:t>
      </w:r>
      <w:r>
        <w:rPr>
          <w:rFonts w:hint="eastAsia"/>
          <w:color w:val="auto"/>
          <w:highlight w:val="none"/>
        </w:rPr>
        <w:t>时</w:t>
      </w:r>
      <w:r>
        <w:rPr>
          <w:rFonts w:hint="eastAsia"/>
          <w:color w:val="auto"/>
          <w:highlight w:val="none"/>
          <w:u w:val="single"/>
          <w:lang w:val="en-US" w:eastAsia="zh-CN"/>
        </w:rPr>
        <w:t>30</w:t>
      </w:r>
      <w:r>
        <w:rPr>
          <w:rFonts w:hint="eastAsia"/>
          <w:color w:val="auto"/>
          <w:highlight w:val="none"/>
        </w:rPr>
        <w:t>分（北京时间）</w:t>
      </w:r>
    </w:p>
    <w:p>
      <w:pPr>
        <w:rPr>
          <w:color w:val="auto"/>
          <w:highlight w:val="none"/>
        </w:rPr>
      </w:pPr>
      <w:r>
        <w:rPr>
          <w:rFonts w:hint="eastAsia"/>
          <w:color w:val="auto"/>
          <w:highlight w:val="none"/>
        </w:rPr>
        <w:t>3.2 获取时间和方式：从</w:t>
      </w:r>
      <w:r>
        <w:rPr>
          <w:rFonts w:hint="eastAsia"/>
          <w:color w:val="auto"/>
          <w:highlight w:val="none"/>
          <w:u w:val="single"/>
          <w:lang w:val="en-US" w:eastAsia="zh-CN"/>
        </w:rPr>
        <w:t>2025</w:t>
      </w:r>
      <w:r>
        <w:rPr>
          <w:rFonts w:hint="eastAsia"/>
          <w:color w:val="auto"/>
          <w:highlight w:val="none"/>
        </w:rPr>
        <w:t>年</w:t>
      </w:r>
      <w:r>
        <w:rPr>
          <w:rFonts w:hint="eastAsia"/>
          <w:color w:val="auto"/>
          <w:highlight w:val="none"/>
          <w:u w:val="single"/>
          <w:lang w:val="en-US" w:eastAsia="zh-CN"/>
        </w:rPr>
        <w:t>9</w:t>
      </w:r>
      <w:r>
        <w:rPr>
          <w:rFonts w:hint="eastAsia"/>
          <w:color w:val="auto"/>
          <w:highlight w:val="none"/>
        </w:rPr>
        <w:t>月</w:t>
      </w:r>
      <w:r>
        <w:rPr>
          <w:rFonts w:hint="eastAsia"/>
          <w:color w:val="auto"/>
          <w:highlight w:val="none"/>
          <w:u w:val="single"/>
          <w:lang w:val="en-US" w:eastAsia="zh-CN"/>
        </w:rPr>
        <w:t>10</w:t>
      </w:r>
      <w:r>
        <w:rPr>
          <w:rFonts w:hint="eastAsia"/>
          <w:color w:val="auto"/>
          <w:highlight w:val="none"/>
        </w:rPr>
        <w:t>日到响应截止时间，在重庆市公共资源交易网（www.cqggzy.com）下载询比文件。</w:t>
      </w:r>
    </w:p>
    <w:p>
      <w:pPr>
        <w:rPr>
          <w:color w:val="auto"/>
          <w:highlight w:val="none"/>
        </w:rPr>
      </w:pPr>
      <w:r>
        <w:rPr>
          <w:rFonts w:hint="eastAsia"/>
          <w:color w:val="auto"/>
          <w:highlight w:val="none"/>
        </w:rPr>
        <w:t>3.3 响应人在下载询比文件后，应仔细检查询比文件的所有内容，如有残缺或文字表述不清，以及存在错、碰、漏、缺、概念模糊和有可能出现歧义或理解上的偏差的内容等应在</w:t>
      </w:r>
      <w:r>
        <w:rPr>
          <w:rFonts w:hint="eastAsia"/>
          <w:color w:val="auto"/>
          <w:highlight w:val="none"/>
          <w:u w:val="single"/>
        </w:rPr>
        <w:t xml:space="preserve">    </w:t>
      </w:r>
      <w:r>
        <w:rPr>
          <w:rFonts w:hint="eastAsia"/>
          <w:color w:val="auto"/>
          <w:highlight w:val="none"/>
          <w:u w:val="single"/>
          <w:lang w:val="en-US" w:eastAsia="zh-CN"/>
        </w:rPr>
        <w:t>2025</w:t>
      </w:r>
      <w:r>
        <w:rPr>
          <w:rFonts w:hint="eastAsia"/>
          <w:color w:val="auto"/>
          <w:highlight w:val="none"/>
        </w:rPr>
        <w:t>年</w:t>
      </w:r>
      <w:r>
        <w:rPr>
          <w:rFonts w:hint="eastAsia"/>
          <w:color w:val="auto"/>
          <w:highlight w:val="none"/>
          <w:u w:val="single"/>
          <w:lang w:val="en-US" w:eastAsia="zh-CN"/>
        </w:rPr>
        <w:t>9</w:t>
      </w:r>
      <w:r>
        <w:rPr>
          <w:rFonts w:hint="eastAsia"/>
          <w:color w:val="auto"/>
          <w:highlight w:val="none"/>
        </w:rPr>
        <w:t>月</w:t>
      </w:r>
      <w:r>
        <w:rPr>
          <w:rFonts w:hint="eastAsia"/>
          <w:color w:val="auto"/>
          <w:highlight w:val="none"/>
          <w:u w:val="single"/>
          <w:lang w:val="en-US" w:eastAsia="zh-CN"/>
        </w:rPr>
        <w:t>13</w:t>
      </w:r>
      <w:r>
        <w:rPr>
          <w:rFonts w:hint="eastAsia"/>
          <w:color w:val="auto"/>
          <w:highlight w:val="none"/>
        </w:rPr>
        <w:t>日</w:t>
      </w:r>
      <w:r>
        <w:rPr>
          <w:rFonts w:hint="eastAsia"/>
          <w:color w:val="auto"/>
          <w:highlight w:val="none"/>
          <w:u w:val="single"/>
          <w:lang w:val="en-US" w:eastAsia="zh-CN"/>
        </w:rPr>
        <w:t>17</w:t>
      </w:r>
      <w:r>
        <w:rPr>
          <w:rFonts w:hint="eastAsia"/>
          <w:color w:val="auto"/>
          <w:highlight w:val="none"/>
        </w:rPr>
        <w:t>时</w:t>
      </w:r>
      <w:r>
        <w:rPr>
          <w:rFonts w:hint="eastAsia"/>
          <w:color w:val="auto"/>
          <w:highlight w:val="none"/>
          <w:u w:val="single"/>
          <w:lang w:val="en-US" w:eastAsia="zh-CN"/>
        </w:rPr>
        <w:t>00</w:t>
      </w:r>
      <w:r>
        <w:rPr>
          <w:rFonts w:hint="eastAsia"/>
          <w:color w:val="auto"/>
          <w:highlight w:val="none"/>
        </w:rPr>
        <w:t>分（北京时间）前自行在重庆市公共资源交易网（http://www.cqggzy.com/）询比公告的“我要提问”栏目匿名提出。响应人未提出，则视为响应人已全面确认询比文件内容。</w:t>
      </w:r>
    </w:p>
    <w:p>
      <w:pPr>
        <w:rPr>
          <w:color w:val="auto"/>
          <w:highlight w:val="none"/>
        </w:rPr>
      </w:pPr>
      <w:r>
        <w:rPr>
          <w:rFonts w:hint="eastAsia"/>
          <w:color w:val="auto"/>
          <w:highlight w:val="none"/>
        </w:rPr>
        <w:t>3.4 采购人在认为有必要对响应人所提问题进行答复或对询比文件进行补充时，将在《重庆市公共资源交易网（www.cqggzy.com）》“答疑补遗”栏上发布答疑补遗文件。不论响应人下载与否，都视为响应人收到有关本项目在《重庆市公共资源交易网（www.cqggzy.com）》上发布的所有资料并全部知晓有关询比过程和事宜，由此产生的一切后果由响应人自负。</w:t>
      </w:r>
    </w:p>
    <w:p>
      <w:pPr>
        <w:pStyle w:val="4"/>
        <w:rPr>
          <w:color w:val="auto"/>
          <w:highlight w:val="none"/>
        </w:rPr>
      </w:pPr>
      <w:bookmarkStart w:id="15" w:name="_Toc55379221"/>
      <w:r>
        <w:rPr>
          <w:rFonts w:hint="eastAsia"/>
          <w:color w:val="auto"/>
          <w:highlight w:val="none"/>
        </w:rPr>
        <w:t>4. 响应保证金的递交</w:t>
      </w:r>
      <w:bookmarkEnd w:id="12"/>
      <w:bookmarkEnd w:id="13"/>
      <w:bookmarkEnd w:id="14"/>
      <w:bookmarkEnd w:id="15"/>
    </w:p>
    <w:p>
      <w:pPr>
        <w:rPr>
          <w:color w:val="auto"/>
          <w:highlight w:val="none"/>
        </w:rPr>
      </w:pPr>
      <w:bookmarkStart w:id="16" w:name="_Toc55379222"/>
      <w:bookmarkStart w:id="17" w:name="_Toc297817091"/>
      <w:bookmarkStart w:id="18" w:name="_Toc469574668"/>
      <w:bookmarkStart w:id="19" w:name="_Toc89675131"/>
      <w:r>
        <w:rPr>
          <w:rFonts w:hint="eastAsia"/>
          <w:color w:val="auto"/>
          <w:highlight w:val="none"/>
        </w:rPr>
        <w:t>4.1 响应保证金的金额：</w:t>
      </w:r>
      <w:r>
        <w:rPr>
          <w:rFonts w:hint="eastAsia"/>
          <w:color w:val="auto"/>
          <w:highlight w:val="none"/>
          <w:lang w:val="en-US" w:eastAsia="zh-CN"/>
        </w:rPr>
        <w:t>34,000</w:t>
      </w:r>
      <w:r>
        <w:rPr>
          <w:rFonts w:hint="eastAsia"/>
          <w:b/>
          <w:bCs/>
          <w:color w:val="auto"/>
          <w:highlight w:val="none"/>
          <w:u w:val="none"/>
        </w:rPr>
        <w:t>元整（大写</w:t>
      </w:r>
      <w:r>
        <w:rPr>
          <w:rFonts w:hint="eastAsia"/>
          <w:b/>
          <w:bCs/>
          <w:color w:val="auto"/>
          <w:highlight w:val="none"/>
          <w:u w:val="none"/>
          <w:lang w:eastAsia="zh-CN"/>
        </w:rPr>
        <w:t>：</w:t>
      </w:r>
      <w:r>
        <w:rPr>
          <w:rFonts w:hint="eastAsia"/>
          <w:b/>
          <w:bCs/>
          <w:color w:val="auto"/>
          <w:highlight w:val="none"/>
          <w:u w:val="none"/>
          <w:lang w:val="en-US" w:eastAsia="zh-CN"/>
        </w:rPr>
        <w:t>叁万肆仟元整</w:t>
      </w:r>
      <w:r>
        <w:rPr>
          <w:rFonts w:hint="eastAsia"/>
          <w:b/>
          <w:bCs/>
          <w:color w:val="auto"/>
          <w:highlight w:val="none"/>
          <w:u w:val="none"/>
        </w:rPr>
        <w:t>）</w:t>
      </w:r>
      <w:r>
        <w:rPr>
          <w:rFonts w:hint="eastAsia"/>
          <w:color w:val="auto"/>
          <w:highlight w:val="none"/>
        </w:rPr>
        <w:t>。</w:t>
      </w:r>
    </w:p>
    <w:p>
      <w:pPr>
        <w:rPr>
          <w:color w:val="auto"/>
          <w:highlight w:val="none"/>
        </w:rPr>
      </w:pPr>
      <w:r>
        <w:rPr>
          <w:rFonts w:hint="eastAsia"/>
          <w:color w:val="auto"/>
          <w:highlight w:val="none"/>
        </w:rPr>
        <w:t>4.2 响应保证金缴纳方式：响应人从响应人的银行账户，通过转账或电汇方式直接划付至对应标段公告下方指定的账户（任选其一），否则，响应保证金无效。响应人自行考虑汇入到账时间风险，本项目响应保证金不接受任何形式保函（包括电子保函）；</w:t>
      </w:r>
    </w:p>
    <w:p>
      <w:pPr>
        <w:rPr>
          <w:b/>
          <w:bCs/>
          <w:color w:val="auto"/>
          <w:highlight w:val="none"/>
        </w:rPr>
      </w:pPr>
      <w:r>
        <w:rPr>
          <w:rFonts w:hint="eastAsia"/>
          <w:b/>
          <w:bCs/>
          <w:color w:val="auto"/>
          <w:highlight w:val="none"/>
        </w:rPr>
        <w:t>响应人</w:t>
      </w:r>
      <w:r>
        <w:rPr>
          <w:rFonts w:hint="eastAsia"/>
          <w:b/>
          <w:bCs/>
          <w:color w:val="auto"/>
          <w:highlight w:val="none"/>
          <w:lang w:val="en-US" w:eastAsia="zh-CN"/>
        </w:rPr>
        <w:t>可</w:t>
      </w:r>
      <w:r>
        <w:rPr>
          <w:rFonts w:hint="eastAsia"/>
          <w:b/>
          <w:bCs/>
          <w:color w:val="auto"/>
          <w:highlight w:val="none"/>
        </w:rPr>
        <w:t>在付款凭证备注栏中注明项目简称。可简写成：</w:t>
      </w:r>
      <w:r>
        <w:rPr>
          <w:rFonts w:hint="eastAsia"/>
          <w:b/>
          <w:bCs/>
          <w:color w:val="auto"/>
          <w:highlight w:val="none"/>
          <w:lang w:val="en-US" w:eastAsia="zh-CN"/>
        </w:rPr>
        <w:t>个人客户权益系统</w:t>
      </w:r>
      <w:r>
        <w:rPr>
          <w:rFonts w:hint="eastAsia"/>
          <w:b/>
          <w:bCs/>
          <w:color w:val="auto"/>
          <w:highlight w:val="none"/>
          <w:u w:val="none"/>
        </w:rPr>
        <w:t>项目</w:t>
      </w:r>
      <w:r>
        <w:rPr>
          <w:rFonts w:hint="eastAsia"/>
          <w:b/>
          <w:bCs/>
          <w:color w:val="auto"/>
          <w:highlight w:val="none"/>
        </w:rPr>
        <w:t>。</w:t>
      </w:r>
    </w:p>
    <w:p>
      <w:pPr>
        <w:rPr>
          <w:color w:val="auto"/>
          <w:highlight w:val="none"/>
        </w:rPr>
      </w:pPr>
      <w:r>
        <w:rPr>
          <w:rFonts w:hint="eastAsia"/>
          <w:color w:val="auto"/>
          <w:highlight w:val="none"/>
        </w:rPr>
        <w:t>4.3 响应保证金递交的截止时间同响应截止时间。响应保证金以重庆市公共资源交易中心询比现场展示的保证金交纳情况为准。</w:t>
      </w:r>
    </w:p>
    <w:p>
      <w:pPr>
        <w:rPr>
          <w:color w:val="auto"/>
          <w:highlight w:val="none"/>
        </w:rPr>
      </w:pPr>
      <w:r>
        <w:rPr>
          <w:rFonts w:hint="eastAsia"/>
          <w:color w:val="auto"/>
          <w:highlight w:val="none"/>
        </w:rPr>
        <w:t>4.</w:t>
      </w:r>
      <w:r>
        <w:rPr>
          <w:color w:val="auto"/>
          <w:highlight w:val="none"/>
        </w:rPr>
        <w:t>4</w:t>
      </w:r>
      <w:r>
        <w:rPr>
          <w:rFonts w:hint="eastAsia"/>
          <w:color w:val="auto"/>
          <w:highlight w:val="none"/>
        </w:rPr>
        <w:t xml:space="preserve"> 响应保证金专用账户如下：</w:t>
      </w:r>
    </w:p>
    <w:p>
      <w:pPr>
        <w:rPr>
          <w:color w:val="auto"/>
          <w:highlight w:val="none"/>
        </w:rPr>
      </w:pPr>
      <w:r>
        <w:rPr>
          <w:rFonts w:hint="eastAsia"/>
          <w:color w:val="auto"/>
          <w:highlight w:val="none"/>
        </w:rPr>
        <w:t>详见重庆市公共资源交易网（www.cqggzy.com）对应本项目询比公告信息栏中的保证金信息。</w:t>
      </w:r>
    </w:p>
    <w:p>
      <w:pPr>
        <w:pStyle w:val="4"/>
        <w:rPr>
          <w:color w:val="auto"/>
          <w:highlight w:val="none"/>
        </w:rPr>
      </w:pPr>
      <w:r>
        <w:rPr>
          <w:rFonts w:hint="eastAsia"/>
          <w:color w:val="auto"/>
          <w:highlight w:val="none"/>
        </w:rPr>
        <w:t>5. 市场主体信息登记</w:t>
      </w:r>
    </w:p>
    <w:p>
      <w:pPr>
        <w:rPr>
          <w:color w:val="auto"/>
          <w:highlight w:val="none"/>
        </w:rPr>
      </w:pPr>
      <w:r>
        <w:rPr>
          <w:rFonts w:hint="eastAsia"/>
          <w:color w:val="auto"/>
          <w:highlight w:val="none"/>
        </w:rPr>
        <w:t>根据重庆市公共资源交易中心《关于开展公共资源交易市场主体信息登记工作的公告》的要求，响应人在响应前需在重庆市公共资源交易网（www.cqggzy.com）办理市场主体信息登记手续。若响应人未及时完成市场主体信息登记将不能正常登录电子招投标系统(www.cqggzy.com/EpointSSO/login/oauth2login)查看和办理本项目相关事宜，由此导致无法完成响应的，责任自负。</w:t>
      </w:r>
    </w:p>
    <w:bookmarkEnd w:id="16"/>
    <w:bookmarkEnd w:id="17"/>
    <w:bookmarkEnd w:id="18"/>
    <w:bookmarkEnd w:id="19"/>
    <w:p>
      <w:pPr>
        <w:pStyle w:val="4"/>
        <w:rPr>
          <w:color w:val="auto"/>
          <w:highlight w:val="none"/>
        </w:rPr>
      </w:pPr>
      <w:r>
        <w:rPr>
          <w:rFonts w:hint="eastAsia"/>
          <w:color w:val="auto"/>
          <w:highlight w:val="none"/>
        </w:rPr>
        <w:t>6. 响应文件的递交</w:t>
      </w:r>
    </w:p>
    <w:p>
      <w:pPr>
        <w:rPr>
          <w:color w:val="auto"/>
          <w:highlight w:val="none"/>
        </w:rPr>
      </w:pPr>
      <w:bookmarkStart w:id="20" w:name="_Toc55379223"/>
      <w:bookmarkStart w:id="21" w:name="_Toc89675132"/>
      <w:bookmarkStart w:id="22" w:name="_Toc469574669"/>
      <w:r>
        <w:rPr>
          <w:rFonts w:hint="eastAsia"/>
          <w:color w:val="auto"/>
          <w:highlight w:val="none"/>
        </w:rPr>
        <w:t>6.1 响应文件现场递交时间为</w:t>
      </w:r>
      <w:bookmarkStart w:id="27" w:name="_GoBack"/>
      <w:r>
        <w:rPr>
          <w:rFonts w:hint="eastAsia"/>
          <w:color w:val="auto"/>
          <w:highlight w:val="none"/>
          <w:u w:val="single"/>
          <w:lang w:val="en-US" w:eastAsia="zh-CN"/>
        </w:rPr>
        <w:t>2025</w:t>
      </w:r>
      <w:r>
        <w:rPr>
          <w:rFonts w:hint="eastAsia"/>
          <w:color w:val="auto"/>
          <w:highlight w:val="none"/>
        </w:rPr>
        <w:t>年</w:t>
      </w:r>
      <w:r>
        <w:rPr>
          <w:rFonts w:hint="eastAsia"/>
          <w:color w:val="auto"/>
          <w:highlight w:val="none"/>
          <w:u w:val="single"/>
          <w:lang w:val="en-US" w:eastAsia="zh-CN"/>
        </w:rPr>
        <w:t>9</w:t>
      </w:r>
      <w:r>
        <w:rPr>
          <w:rFonts w:hint="eastAsia"/>
          <w:color w:val="auto"/>
          <w:highlight w:val="none"/>
        </w:rPr>
        <w:t>月</w:t>
      </w:r>
      <w:r>
        <w:rPr>
          <w:rFonts w:hint="eastAsia"/>
          <w:color w:val="auto"/>
          <w:highlight w:val="none"/>
          <w:u w:val="single"/>
          <w:lang w:val="en-US" w:eastAsia="zh-CN"/>
        </w:rPr>
        <w:t>25</w:t>
      </w:r>
      <w:r>
        <w:rPr>
          <w:rFonts w:hint="eastAsia"/>
          <w:color w:val="auto"/>
          <w:highlight w:val="none"/>
        </w:rPr>
        <w:t>日</w:t>
      </w:r>
      <w:r>
        <w:rPr>
          <w:rFonts w:hint="eastAsia"/>
          <w:color w:val="auto"/>
          <w:highlight w:val="none"/>
          <w:u w:val="single"/>
          <w:lang w:val="en-US" w:eastAsia="zh-CN"/>
        </w:rPr>
        <w:t>9</w:t>
      </w:r>
      <w:r>
        <w:rPr>
          <w:rFonts w:hint="eastAsia"/>
          <w:color w:val="auto"/>
          <w:highlight w:val="none"/>
        </w:rPr>
        <w:t>时</w:t>
      </w:r>
      <w:r>
        <w:rPr>
          <w:rFonts w:hint="eastAsia"/>
          <w:color w:val="auto"/>
          <w:highlight w:val="none"/>
          <w:u w:val="single"/>
          <w:lang w:val="en-US" w:eastAsia="zh-CN"/>
        </w:rPr>
        <w:t>00</w:t>
      </w:r>
      <w:r>
        <w:rPr>
          <w:rFonts w:hint="eastAsia"/>
          <w:color w:val="auto"/>
          <w:highlight w:val="none"/>
        </w:rPr>
        <w:t>分</w:t>
      </w:r>
      <w:bookmarkEnd w:id="27"/>
      <w:r>
        <w:rPr>
          <w:rFonts w:hint="eastAsia"/>
          <w:color w:val="auto"/>
          <w:highlight w:val="none"/>
        </w:rPr>
        <w:t>(北京时间)至响应截止时间。</w:t>
      </w:r>
    </w:p>
    <w:p>
      <w:pPr>
        <w:rPr>
          <w:color w:val="auto"/>
          <w:highlight w:val="none"/>
        </w:rPr>
      </w:pPr>
      <w:r>
        <w:rPr>
          <w:rFonts w:hint="eastAsia"/>
          <w:color w:val="auto"/>
          <w:highlight w:val="none"/>
        </w:rPr>
        <w:t>6.2 递交地点为重庆市渝北区青枫北路6号渝兴广场B10栋重庆市公共资源交易中心开标区（具体请登录重庆市公共资源交易网（www.cqggzy.com）查询或递交文件当日见交易中心大厅电子显示屏）。</w:t>
      </w:r>
    </w:p>
    <w:p>
      <w:pPr>
        <w:rPr>
          <w:color w:val="auto"/>
          <w:highlight w:val="none"/>
        </w:rPr>
      </w:pPr>
      <w:r>
        <w:rPr>
          <w:rFonts w:hint="eastAsia"/>
          <w:color w:val="auto"/>
          <w:highlight w:val="none"/>
        </w:rPr>
        <w:t>6.3 逾期送达的响应文件，不予接收。</w:t>
      </w:r>
    </w:p>
    <w:p>
      <w:pPr>
        <w:pStyle w:val="4"/>
        <w:rPr>
          <w:color w:val="auto"/>
          <w:highlight w:val="none"/>
        </w:rPr>
      </w:pPr>
      <w:r>
        <w:rPr>
          <w:rFonts w:hint="eastAsia"/>
          <w:color w:val="auto"/>
          <w:highlight w:val="none"/>
        </w:rPr>
        <w:t>7. 发布公告的媒介</w:t>
      </w:r>
      <w:bookmarkEnd w:id="20"/>
      <w:bookmarkEnd w:id="21"/>
      <w:bookmarkEnd w:id="22"/>
    </w:p>
    <w:p>
      <w:pPr>
        <w:rPr>
          <w:color w:val="auto"/>
          <w:highlight w:val="none"/>
        </w:rPr>
      </w:pPr>
      <w:bookmarkStart w:id="23" w:name="_Toc55379224"/>
      <w:bookmarkStart w:id="24" w:name="_Toc89675133"/>
      <w:bookmarkStart w:id="25" w:name="_Toc250565211"/>
      <w:bookmarkStart w:id="26" w:name="_Toc469574670"/>
      <w:r>
        <w:rPr>
          <w:rFonts w:hint="eastAsia"/>
          <w:color w:val="auto"/>
          <w:highlight w:val="none"/>
        </w:rPr>
        <w:t>本次询比公告同时在《重庆市公共资源交易网（www.cqggzy.com）》《重庆三峡银行官网（https://www.ccqtgb.com）》和《中国招标投标公共服务平台（http://www.cebpubservice.com）》上发布。</w:t>
      </w:r>
    </w:p>
    <w:p>
      <w:pPr>
        <w:pStyle w:val="4"/>
        <w:rPr>
          <w:color w:val="auto"/>
          <w:highlight w:val="none"/>
        </w:rPr>
      </w:pPr>
      <w:r>
        <w:rPr>
          <w:rFonts w:hint="eastAsia"/>
          <w:color w:val="auto"/>
          <w:highlight w:val="none"/>
        </w:rPr>
        <w:t>8. 联系方式</w:t>
      </w:r>
      <w:bookmarkEnd w:id="23"/>
      <w:bookmarkEnd w:id="24"/>
      <w:bookmarkEnd w:id="25"/>
      <w:bookmarkEnd w:id="26"/>
    </w:p>
    <w:p>
      <w:pPr>
        <w:rPr>
          <w:color w:val="auto"/>
          <w:highlight w:val="none"/>
        </w:rPr>
      </w:pPr>
    </w:p>
    <w:tbl>
      <w:tblPr>
        <w:tblStyle w:val="9"/>
        <w:tblW w:w="842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43"/>
        <w:gridCol w:w="44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23" w:type="dxa"/>
            <w:gridSpan w:val="2"/>
            <w:tcBorders>
              <w:top w:val="single" w:color="auto" w:sz="4" w:space="0"/>
              <w:left w:val="single" w:color="auto" w:sz="4" w:space="0"/>
              <w:bottom w:val="nil"/>
              <w:right w:val="single" w:color="auto" w:sz="4" w:space="0"/>
            </w:tcBorders>
          </w:tcPr>
          <w:p>
            <w:pPr>
              <w:ind w:firstLine="0" w:firstLineChars="0"/>
              <w:jc w:val="left"/>
              <w:rPr>
                <w:color w:val="auto"/>
                <w:highlight w:val="none"/>
              </w:rPr>
            </w:pPr>
            <w:r>
              <w:rPr>
                <w:rFonts w:hint="eastAsia"/>
                <w:color w:val="auto"/>
                <w:highlight w:val="none"/>
              </w:rPr>
              <w:t>8.1 项目需求咨询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943" w:type="dxa"/>
            <w:tcBorders>
              <w:top w:val="nil"/>
              <w:left w:val="single" w:color="auto" w:sz="4" w:space="0"/>
              <w:bottom w:val="nil"/>
              <w:right w:val="nil"/>
            </w:tcBorders>
          </w:tcPr>
          <w:p>
            <w:pPr>
              <w:ind w:firstLine="0" w:firstLineChars="0"/>
              <w:jc w:val="left"/>
              <w:rPr>
                <w:rFonts w:cs="宋体"/>
                <w:color w:val="auto"/>
                <w:szCs w:val="21"/>
                <w:highlight w:val="none"/>
              </w:rPr>
            </w:pPr>
            <w:r>
              <w:rPr>
                <w:rFonts w:hint="eastAsia"/>
                <w:color w:val="auto"/>
                <w:highlight w:val="none"/>
              </w:rPr>
              <w:t>项目联系人：</w:t>
            </w:r>
            <w:r>
              <w:rPr>
                <w:rFonts w:hint="eastAsia"/>
                <w:color w:val="auto"/>
                <w:highlight w:val="none"/>
                <w:lang w:val="en-US" w:eastAsia="zh-CN"/>
              </w:rPr>
              <w:t>谭</w:t>
            </w:r>
            <w:r>
              <w:rPr>
                <w:rFonts w:hint="eastAsia"/>
                <w:color w:val="auto"/>
                <w:highlight w:val="none"/>
              </w:rPr>
              <w:t>老师</w:t>
            </w:r>
          </w:p>
        </w:tc>
        <w:tc>
          <w:tcPr>
            <w:tcW w:w="4480" w:type="dxa"/>
            <w:tcBorders>
              <w:top w:val="nil"/>
              <w:left w:val="nil"/>
              <w:bottom w:val="nil"/>
              <w:right w:val="single" w:color="auto" w:sz="4" w:space="0"/>
            </w:tcBorders>
          </w:tcPr>
          <w:p>
            <w:pPr>
              <w:ind w:firstLine="0" w:firstLineChars="0"/>
              <w:jc w:val="left"/>
              <w:rPr>
                <w:rFonts w:cs="宋体"/>
                <w:color w:val="auto"/>
                <w:szCs w:val="21"/>
                <w:highlight w:val="none"/>
              </w:rPr>
            </w:pPr>
            <w:r>
              <w:rPr>
                <w:rFonts w:hint="eastAsia"/>
                <w:color w:val="auto"/>
                <w:highlight w:val="none"/>
              </w:rPr>
              <w:t>联系方式：023-88890</w:t>
            </w:r>
            <w:r>
              <w:rPr>
                <w:color w:val="auto"/>
                <w:highlight w:val="none"/>
              </w:rPr>
              <w:t>272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pPr>
              <w:ind w:firstLine="0" w:firstLineChars="0"/>
              <w:jc w:val="left"/>
              <w:rPr>
                <w:color w:val="auto"/>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pPr>
              <w:ind w:firstLine="0" w:firstLineChars="0"/>
              <w:jc w:val="left"/>
              <w:rPr>
                <w:color w:val="auto"/>
                <w:highlight w:val="none"/>
              </w:rPr>
            </w:pPr>
            <w:r>
              <w:rPr>
                <w:rFonts w:hint="eastAsia"/>
                <w:color w:val="auto"/>
                <w:highlight w:val="none"/>
              </w:rPr>
              <w:t>8.2 项目流程咨询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pPr>
              <w:ind w:firstLine="0" w:firstLineChars="0"/>
              <w:jc w:val="left"/>
              <w:rPr>
                <w:color w:val="auto"/>
                <w:highlight w:val="none"/>
              </w:rPr>
            </w:pPr>
            <w:r>
              <w:rPr>
                <w:rFonts w:hint="eastAsia"/>
                <w:color w:val="auto"/>
                <w:highlight w:val="none"/>
              </w:rPr>
              <w:t>平台服务机构：重庆联合产权交易所集团股份有限公司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943" w:type="dxa"/>
            <w:tcBorders>
              <w:top w:val="nil"/>
              <w:left w:val="single" w:color="auto" w:sz="4" w:space="0"/>
              <w:bottom w:val="nil"/>
              <w:right w:val="nil"/>
            </w:tcBorders>
          </w:tcPr>
          <w:p>
            <w:pPr>
              <w:ind w:firstLine="0" w:firstLineChars="0"/>
              <w:jc w:val="left"/>
              <w:rPr>
                <w:rFonts w:hint="eastAsia" w:eastAsia="宋体" w:cs="宋体"/>
                <w:color w:val="auto"/>
                <w:szCs w:val="21"/>
                <w:highlight w:val="none"/>
                <w:lang w:val="en-US" w:eastAsia="zh-CN"/>
              </w:rPr>
            </w:pPr>
            <w:r>
              <w:rPr>
                <w:rFonts w:hint="eastAsia"/>
                <w:color w:val="auto"/>
                <w:highlight w:val="none"/>
              </w:rPr>
              <w:t>平台联系人：</w:t>
            </w:r>
            <w:r>
              <w:rPr>
                <w:rFonts w:hint="eastAsia"/>
                <w:color w:val="auto"/>
                <w:highlight w:val="none"/>
                <w:lang w:val="en-US" w:eastAsia="zh-CN"/>
              </w:rPr>
              <w:t>邵老师</w:t>
            </w:r>
          </w:p>
        </w:tc>
        <w:tc>
          <w:tcPr>
            <w:tcW w:w="4480" w:type="dxa"/>
            <w:tcBorders>
              <w:top w:val="nil"/>
              <w:left w:val="nil"/>
              <w:bottom w:val="nil"/>
              <w:right w:val="single" w:color="auto" w:sz="4" w:space="0"/>
            </w:tcBorders>
          </w:tcPr>
          <w:p>
            <w:pPr>
              <w:ind w:firstLine="0" w:firstLineChars="0"/>
              <w:jc w:val="left"/>
              <w:rPr>
                <w:rFonts w:hint="default" w:eastAsia="宋体" w:cs="宋体"/>
                <w:color w:val="auto"/>
                <w:szCs w:val="21"/>
                <w:highlight w:val="none"/>
                <w:lang w:val="en-US" w:eastAsia="zh-CN"/>
              </w:rPr>
            </w:pPr>
            <w:r>
              <w:rPr>
                <w:rFonts w:hint="eastAsia"/>
                <w:color w:val="auto"/>
                <w:highlight w:val="none"/>
              </w:rPr>
              <w:t>联系方式：023-6362</w:t>
            </w:r>
            <w:r>
              <w:rPr>
                <w:rFonts w:hint="eastAsia"/>
                <w:color w:val="auto"/>
                <w:highlight w:val="none"/>
                <w:lang w:val="en-US" w:eastAsia="zh-CN"/>
              </w:rPr>
              <w:t>7002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pPr>
              <w:ind w:firstLine="0" w:firstLineChars="0"/>
              <w:jc w:val="left"/>
              <w:rPr>
                <w:color w:val="auto"/>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pPr>
              <w:ind w:firstLine="0" w:firstLineChars="0"/>
              <w:jc w:val="left"/>
              <w:rPr>
                <w:color w:val="auto"/>
                <w:highlight w:val="none"/>
              </w:rPr>
            </w:pPr>
            <w:r>
              <w:rPr>
                <w:rFonts w:hint="eastAsia"/>
                <w:color w:val="auto"/>
                <w:highlight w:val="none"/>
              </w:rPr>
              <w:t>8.3 采购人联系方式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943" w:type="dxa"/>
            <w:tcBorders>
              <w:top w:val="nil"/>
              <w:left w:val="single" w:color="auto" w:sz="4" w:space="0"/>
              <w:bottom w:val="nil"/>
              <w:right w:val="nil"/>
            </w:tcBorders>
          </w:tcPr>
          <w:p>
            <w:pPr>
              <w:ind w:firstLine="0" w:firstLineChars="0"/>
              <w:jc w:val="left"/>
              <w:rPr>
                <w:rFonts w:cs="宋体"/>
                <w:color w:val="auto"/>
                <w:szCs w:val="21"/>
                <w:highlight w:val="none"/>
              </w:rPr>
            </w:pPr>
            <w:r>
              <w:rPr>
                <w:rFonts w:hint="eastAsia"/>
                <w:color w:val="auto"/>
                <w:highlight w:val="none"/>
              </w:rPr>
              <w:t>联系人：敬老师</w:t>
            </w:r>
          </w:p>
        </w:tc>
        <w:tc>
          <w:tcPr>
            <w:tcW w:w="4480" w:type="dxa"/>
            <w:tcBorders>
              <w:top w:val="nil"/>
              <w:left w:val="nil"/>
              <w:bottom w:val="nil"/>
              <w:right w:val="single" w:color="auto" w:sz="4" w:space="0"/>
            </w:tcBorders>
          </w:tcPr>
          <w:p>
            <w:pPr>
              <w:ind w:firstLine="0" w:firstLineChars="0"/>
              <w:jc w:val="left"/>
              <w:rPr>
                <w:rFonts w:cs="宋体"/>
                <w:color w:val="auto"/>
                <w:szCs w:val="21"/>
                <w:highlight w:val="none"/>
              </w:rPr>
            </w:pPr>
            <w:r>
              <w:rPr>
                <w:rFonts w:hint="eastAsia"/>
                <w:color w:val="auto"/>
                <w:highlight w:val="none"/>
              </w:rPr>
              <w:t>联系方式：023-88890395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23" w:type="dxa"/>
            <w:gridSpan w:val="2"/>
            <w:tcBorders>
              <w:top w:val="nil"/>
              <w:left w:val="single" w:color="auto" w:sz="4" w:space="0"/>
              <w:bottom w:val="single" w:color="auto" w:sz="4" w:space="0"/>
              <w:right w:val="single" w:color="auto" w:sz="4" w:space="0"/>
            </w:tcBorders>
          </w:tcPr>
          <w:p>
            <w:pPr>
              <w:ind w:firstLine="0" w:firstLineChars="0"/>
              <w:jc w:val="left"/>
              <w:rPr>
                <w:color w:val="auto"/>
                <w:highlight w:val="none"/>
              </w:rPr>
            </w:pPr>
            <w:r>
              <w:rPr>
                <w:rFonts w:hint="eastAsia"/>
                <w:color w:val="auto"/>
                <w:highlight w:val="none"/>
              </w:rPr>
              <w:t>采购人地址：重庆市渝北区嘉州路88号</w:t>
            </w:r>
            <w:r>
              <w:rPr>
                <w:color w:val="auto"/>
                <w:highlight w:val="none"/>
              </w:rPr>
              <w:t>重庆三峡银行</w:t>
            </w:r>
          </w:p>
        </w:tc>
      </w:tr>
    </w:tbl>
    <w:p>
      <w:pPr>
        <w:pStyle w:val="2"/>
        <w:ind w:left="0" w:leftChars="0" w:firstLine="0" w:firstLineChars="0"/>
        <w:rPr>
          <w:color w:val="auto"/>
          <w:highlight w:val="none"/>
        </w:rPr>
      </w:pPr>
    </w:p>
    <w:p>
      <w:pPr>
        <w:rPr>
          <w:rFonts w:hint="default" w:eastAsia="宋体"/>
          <w:lang w:val="en-US" w:eastAsia="zh-CN"/>
        </w:rPr>
      </w:pPr>
      <w:r>
        <w:rPr>
          <w:rFonts w:hint="eastAsia"/>
          <w:color w:val="auto"/>
          <w:highlight w:val="none"/>
          <w:lang w:val="en-US" w:eastAsia="zh-CN"/>
        </w:rPr>
        <w:t>附件：</w:t>
      </w:r>
      <w:r>
        <w:rPr>
          <w:rFonts w:hint="eastAsia"/>
          <w:color w:val="auto"/>
          <w:highlight w:val="none"/>
        </w:rPr>
        <w:t>重庆三峡银行</w:t>
      </w:r>
      <w:r>
        <w:rPr>
          <w:rFonts w:hint="eastAsia"/>
          <w:color w:val="auto"/>
          <w:highlight w:val="none"/>
          <w:lang w:val="en-US" w:eastAsia="zh-CN"/>
        </w:rPr>
        <w:t>个人客户权益系统</w:t>
      </w:r>
      <w:r>
        <w:rPr>
          <w:rFonts w:hint="eastAsia"/>
          <w:color w:val="auto"/>
          <w:highlight w:val="none"/>
        </w:rPr>
        <w:t>项目</w:t>
      </w:r>
      <w:r>
        <w:rPr>
          <w:rFonts w:hint="eastAsia"/>
          <w:color w:val="auto"/>
          <w:highlight w:val="none"/>
          <w:lang w:val="en-US" w:eastAsia="zh-CN"/>
        </w:rPr>
        <w:t>询比文件</w:t>
      </w:r>
    </w:p>
    <w:p>
      <w:pPr>
        <w:spacing w:line="240" w:lineRule="auto"/>
        <w:ind w:firstLine="0" w:firstLineChars="0"/>
        <w:jc w:val="right"/>
        <w:rPr>
          <w:color w:val="auto"/>
          <w:highlight w:val="none"/>
        </w:rPr>
      </w:pPr>
      <w:r>
        <w:rPr>
          <w:rFonts w:hint="eastAsia"/>
          <w:color w:val="auto"/>
          <w:highlight w:val="none"/>
        </w:rPr>
        <w:t>重庆三峡银行股份有限公司</w:t>
      </w:r>
    </w:p>
    <w:p>
      <w:pPr>
        <w:jc w:val="right"/>
        <w:rPr>
          <w:color w:val="auto"/>
          <w:highlight w:val="none"/>
        </w:rPr>
      </w:pPr>
      <w:r>
        <w:rPr>
          <w:rFonts w:hint="eastAsia"/>
          <w:color w:val="auto"/>
          <w:highlight w:val="none"/>
        </w:rPr>
        <w:t>202</w:t>
      </w:r>
      <w:r>
        <w:rPr>
          <w:rFonts w:hint="eastAsia"/>
          <w:color w:val="auto"/>
          <w:highlight w:val="none"/>
          <w:lang w:val="en-US" w:eastAsia="zh-CN"/>
        </w:rPr>
        <w:t>5</w:t>
      </w:r>
      <w:r>
        <w:rPr>
          <w:rFonts w:hint="eastAsia"/>
          <w:color w:val="auto"/>
          <w:highlight w:val="none"/>
        </w:rPr>
        <w:t xml:space="preserve"> 年 </w:t>
      </w:r>
      <w:r>
        <w:rPr>
          <w:rFonts w:hint="eastAsia"/>
          <w:color w:val="auto"/>
          <w:highlight w:val="none"/>
          <w:lang w:val="en-US" w:eastAsia="zh-CN"/>
        </w:rPr>
        <w:t>9</w:t>
      </w:r>
      <w:r>
        <w:rPr>
          <w:rFonts w:hint="eastAsia"/>
          <w:color w:val="auto"/>
          <w:highlight w:val="none"/>
        </w:rPr>
        <w:t xml:space="preserve"> 月</w:t>
      </w:r>
      <w:r>
        <w:rPr>
          <w:rFonts w:hint="eastAsia"/>
          <w:color w:val="auto"/>
          <w:highlight w:val="none"/>
          <w:lang w:val="en-US" w:eastAsia="zh-CN"/>
        </w:rPr>
        <w:t>10</w:t>
      </w:r>
      <w:r>
        <w:rPr>
          <w:rFonts w:hint="eastAsia"/>
          <w:color w:val="auto"/>
          <w:highlight w:val="none"/>
        </w:rPr>
        <w:t xml:space="preserve"> 日</w:t>
      </w:r>
    </w:p>
    <w:p>
      <w:pPr>
        <w:ind w:left="0" w:leftChars="0" w:firstLine="0" w:firstLineChars="0"/>
        <w:rPr>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altName w:val="Lucida Sans Unicode"/>
    <w:panose1 w:val="020B0602030504020204"/>
    <w:charset w:val="00"/>
    <w:family w:val="swiss"/>
    <w:pitch w:val="default"/>
    <w:sig w:usb0="00000000" w:usb1="00000000" w:usb2="00000000" w:usb3="00000000" w:csb0="20000001" w:csb1="00000000"/>
  </w:font>
  <w:font w:name="Cambria Math">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Lucida Sans Unicode">
    <w:panose1 w:val="020B0602030504020204"/>
    <w:charset w:val="00"/>
    <w:family w:val="auto"/>
    <w:pitch w:val="default"/>
    <w:sig w:usb0="80001AFF" w:usb1="0000396B" w:usb2="00000000" w:usb3="00000000" w:csb0="200000BF" w:csb1="D7F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2C3FD5"/>
    <w:rsid w:val="065B06D1"/>
    <w:rsid w:val="1D930B75"/>
    <w:rsid w:val="31541E78"/>
    <w:rsid w:val="332C3FD5"/>
    <w:rsid w:val="4940436F"/>
    <w:rsid w:val="4BBB3B0C"/>
    <w:rsid w:val="5F1C0A51"/>
    <w:rsid w:val="5FDC2AFF"/>
    <w:rsid w:val="678323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