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213" w:rsidRDefault="00892A93">
      <w:pPr>
        <w:snapToGrid w:val="0"/>
        <w:spacing w:line="600" w:lineRule="exact"/>
        <w:jc w:val="center"/>
        <w:rPr>
          <w:rFonts w:ascii="Times New Roman" w:eastAsia="方正小标宋_GBK" w:hAnsi="方正小标宋_GBK" w:cs="Times New Roman"/>
          <w:color w:val="000000"/>
          <w:sz w:val="44"/>
          <w:szCs w:val="44"/>
        </w:rPr>
      </w:pPr>
      <w:r>
        <w:rPr>
          <w:rFonts w:ascii="Times New Roman" w:eastAsia="方正小标宋_GBK" w:hAnsi="方正小标宋_GBK" w:cs="Times New Roman"/>
          <w:color w:val="000000"/>
          <w:sz w:val="44"/>
          <w:szCs w:val="44"/>
        </w:rPr>
        <w:t>流动性风险管理系统</w:t>
      </w:r>
      <w:r>
        <w:rPr>
          <w:rFonts w:ascii="Times New Roman" w:eastAsia="方正小标宋_GBK" w:hAnsi="方正小标宋_GBK" w:cs="Times New Roman"/>
          <w:color w:val="000000"/>
          <w:sz w:val="44"/>
          <w:szCs w:val="44"/>
        </w:rPr>
        <w:t>2025</w:t>
      </w:r>
      <w:r>
        <w:rPr>
          <w:rFonts w:ascii="Times New Roman" w:eastAsia="方正小标宋_GBK" w:hAnsi="方正小标宋_GBK" w:cs="Times New Roman"/>
          <w:color w:val="000000"/>
          <w:sz w:val="44"/>
          <w:szCs w:val="44"/>
        </w:rPr>
        <w:t>年度</w:t>
      </w:r>
      <w:proofErr w:type="gramStart"/>
      <w:r>
        <w:rPr>
          <w:rFonts w:ascii="Times New Roman" w:eastAsia="方正小标宋_GBK" w:hAnsi="方正小标宋_GBK" w:cs="Times New Roman"/>
          <w:color w:val="000000"/>
          <w:sz w:val="44"/>
          <w:szCs w:val="44"/>
        </w:rPr>
        <w:t>信创及</w:t>
      </w:r>
      <w:proofErr w:type="gramEnd"/>
    </w:p>
    <w:p w:rsidR="001F4D57" w:rsidRDefault="00892A93">
      <w:pPr>
        <w:snapToGrid w:val="0"/>
        <w:spacing w:line="600" w:lineRule="exact"/>
        <w:jc w:val="center"/>
        <w:rPr>
          <w:rFonts w:ascii="Times New Roman" w:eastAsia="方正小标宋_GBK" w:hAnsi="方正小标宋_GBK" w:cs="Times New Roman"/>
          <w:color w:val="000000"/>
          <w:sz w:val="44"/>
          <w:szCs w:val="44"/>
        </w:rPr>
      </w:pPr>
      <w:bookmarkStart w:id="0" w:name="_GoBack"/>
      <w:bookmarkEnd w:id="0"/>
      <w:r>
        <w:rPr>
          <w:rFonts w:ascii="Times New Roman" w:eastAsia="方正小标宋_GBK" w:hAnsi="方正小标宋_GBK" w:cs="Times New Roman"/>
          <w:color w:val="000000"/>
          <w:sz w:val="44"/>
          <w:szCs w:val="44"/>
        </w:rPr>
        <w:t>优化项目</w:t>
      </w:r>
      <w:r>
        <w:rPr>
          <w:rFonts w:ascii="Times New Roman" w:eastAsia="方正小标宋_GBK" w:hAnsi="Times New Roman" w:cs="Times New Roman"/>
          <w:sz w:val="44"/>
          <w:szCs w:val="44"/>
        </w:rPr>
        <w:t>公告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一、项目信息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项目名称：流动性风险管理系统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年度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信创及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优化项目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拟采购的货物或服务的说明：对流动性风险管理系统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进行信创建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设。同时对现有系统数据更新时效性、风险预警阈值、指标超限预警功能等进行优化。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拟采购的货物或服务的预算金额：</w:t>
      </w:r>
      <w:r>
        <w:rPr>
          <w:rFonts w:ascii="Times New Roman" w:eastAsia="方正仿宋_GBK" w:hAnsi="Times New Roman" w:cs="Times New Roman"/>
          <w:sz w:val="32"/>
          <w:szCs w:val="32"/>
        </w:rPr>
        <w:t>74.25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</w:t>
      </w:r>
    </w:p>
    <w:p w:rsidR="001F4D57" w:rsidRDefault="00892A93">
      <w:pPr>
        <w:spacing w:line="600" w:lineRule="exact"/>
        <w:rPr>
          <w:rFonts w:eastAsia="方正仿宋_GBK" w:hAnsi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直接采购</w:t>
      </w:r>
      <w:r>
        <w:rPr>
          <w:rFonts w:ascii="Times New Roman" w:eastAsia="方正仿宋_GBK" w:hAnsi="Times New Roman" w:cs="Times New Roman"/>
          <w:sz w:val="32"/>
          <w:szCs w:val="32"/>
        </w:rPr>
        <w:t>采购方式的原因及说明：流动性风险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管理系统</w:t>
      </w:r>
      <w:r>
        <w:rPr>
          <w:rFonts w:eastAsia="方正仿宋_GBK" w:hAnsi="方正仿宋_GBK"/>
          <w:color w:val="000000"/>
          <w:sz w:val="32"/>
          <w:szCs w:val="32"/>
        </w:rPr>
        <w:t>是在厂商原产品基础上结合</w:t>
      </w:r>
      <w:r>
        <w:rPr>
          <w:rFonts w:eastAsia="方正仿宋_GBK" w:hAnsi="方正仿宋_GBK" w:hint="eastAsia"/>
          <w:color w:val="000000"/>
          <w:sz w:val="32"/>
          <w:szCs w:val="32"/>
        </w:rPr>
        <w:t>我行实际情况，</w:t>
      </w:r>
      <w:r>
        <w:rPr>
          <w:rFonts w:eastAsia="方正仿宋_GBK" w:hAnsi="方正仿宋_GBK"/>
          <w:color w:val="000000"/>
          <w:sz w:val="32"/>
          <w:szCs w:val="32"/>
        </w:rPr>
        <w:t>定制</w:t>
      </w:r>
      <w:r>
        <w:rPr>
          <w:rFonts w:eastAsia="方正仿宋_GBK" w:hAnsi="方正仿宋_GBK" w:hint="eastAsia"/>
          <w:color w:val="000000"/>
          <w:sz w:val="32"/>
          <w:szCs w:val="32"/>
        </w:rPr>
        <w:t>化</w:t>
      </w:r>
      <w:r>
        <w:rPr>
          <w:rFonts w:eastAsia="方正仿宋_GBK" w:hAnsi="方正仿宋_GBK"/>
          <w:color w:val="000000"/>
          <w:sz w:val="32"/>
          <w:szCs w:val="32"/>
        </w:rPr>
        <w:t>改造而成。</w:t>
      </w:r>
      <w:r>
        <w:rPr>
          <w:rFonts w:eastAsia="方正仿宋_GBK" w:hAnsi="方正仿宋_GBK"/>
          <w:sz w:val="32"/>
          <w:szCs w:val="32"/>
        </w:rPr>
        <w:t>定制化程度较高，</w:t>
      </w:r>
      <w:r>
        <w:rPr>
          <w:rFonts w:eastAsia="方正仿宋_GBK" w:hAnsi="方正仿宋_GBK" w:hint="eastAsia"/>
          <w:sz w:val="32"/>
          <w:szCs w:val="32"/>
        </w:rPr>
        <w:t>采用原厂改造可</w:t>
      </w:r>
      <w:r>
        <w:rPr>
          <w:rFonts w:eastAsia="方正仿宋_GBK" w:hAnsi="方正仿宋_GBK"/>
          <w:color w:val="000000"/>
          <w:sz w:val="32"/>
          <w:szCs w:val="32"/>
        </w:rPr>
        <w:t>降低项目实施风险，保证项目进度和质量。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二、拟定供应商信息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</w:t>
      </w:r>
      <w:r>
        <w:rPr>
          <w:rFonts w:ascii="Times New Roman" w:eastAsia="方正仿宋_GBK" w:hAnsi="方正仿宋_GBK"/>
          <w:color w:val="000000"/>
          <w:sz w:val="32"/>
          <w:szCs w:val="32"/>
        </w:rPr>
        <w:t>信雅达科技股份有限公司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杭州市滨江区江南大道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3888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号信雅达科技大厦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三、公示期限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  <w:highlight w:val="yellow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4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30 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5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10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四</w:t>
      </w:r>
      <w:r>
        <w:rPr>
          <w:rFonts w:ascii="方正黑体_GBK" w:eastAsia="方正黑体_GBK" w:hAnsi="方正黑体_GBK" w:cs="方正黑体_GBK"/>
          <w:sz w:val="32"/>
          <w:szCs w:val="32"/>
        </w:rPr>
        <w:t>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其他补充事宜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五、</w:t>
      </w:r>
      <w:r>
        <w:rPr>
          <w:rFonts w:ascii="方正黑体_GBK" w:eastAsia="方正黑体_GBK" w:hAnsi="方正黑体_GBK" w:cs="方正黑体_GBK"/>
          <w:sz w:val="32"/>
          <w:szCs w:val="32"/>
        </w:rPr>
        <w:t>联系方式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杨漪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刘波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</w:t>
      </w:r>
    </w:p>
    <w:p w:rsidR="001F4D57" w:rsidRDefault="00892A9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采购咨询电话：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88890381 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>
        <w:rPr>
          <w:rFonts w:ascii="Times New Roman" w:eastAsia="方正仿宋_GBK" w:hAnsi="Times New Roman" w:cs="Times New Roman"/>
          <w:sz w:val="32"/>
          <w:szCs w:val="32"/>
        </w:rPr>
        <w:t>88170847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六、专家信息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七、附件</w:t>
      </w:r>
    </w:p>
    <w:p w:rsidR="001F4D57" w:rsidRDefault="00892A9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sectPr w:rsidR="001F4D57"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DejaVu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script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1F4D57"/>
    <w:rsid w:val="000C0213"/>
    <w:rsid w:val="001F4D57"/>
    <w:rsid w:val="00892A93"/>
    <w:rsid w:val="00D9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62A3C6-1C42-4886-A1A2-EF0AA9F08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rPr>
      <w:rFonts w:ascii="Times New Roman" w:hAnsi="宋体" w:cs="Times New Roman"/>
      <w:sz w:val="44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5110E5F-2D78-4245-B5FB-5B11DED1322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70</Words>
  <Characters>404</Characters>
  <Application>Microsoft Office Word</Application>
  <DocSecurity>0</DocSecurity>
  <Lines>3</Lines>
  <Paragraphs>1</Paragraphs>
  <ScaleCrop>false</ScaleCrop>
  <Company>HP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19</cp:revision>
  <cp:lastPrinted>2022-09-19T08:29:00Z</cp:lastPrinted>
  <dcterms:created xsi:type="dcterms:W3CDTF">2022-09-11T11:10:00Z</dcterms:created>
  <dcterms:modified xsi:type="dcterms:W3CDTF">2025-04-29T03:59:00Z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