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594" w:lineRule="exact"/>
        <w:jc w:val="center"/>
        <w:rPr>
          <w:rFonts w:ascii="Times New Roman" w:eastAsia="方正小标宋_GBK" w:cs="Times New Roman" w:hAnsi="Times New Roman"/>
          <w:sz w:val="44"/>
          <w:szCs w:val="44"/>
        </w:rPr>
      </w:pPr>
      <w:bookmarkStart w:id="0" w:name="_GoBack"/>
      <w:bookmarkEnd w:id="0"/>
      <w:r>
        <w:rPr>
          <w:rFonts w:ascii="方正小标宋_GBK" w:eastAsia="方正小标宋_GBK"/>
          <w:sz w:val="44"/>
          <w:szCs w:val="32"/>
        </w:rPr>
        <w:t>2025年金融终端项目</w:t>
      </w:r>
      <w:r>
        <w:rPr>
          <w:rFonts w:ascii="Times New Roman" w:eastAsia="方正小标宋_GBK" w:cs="Times New Roman" w:hAnsi="Times New Roman"/>
          <w:sz w:val="44"/>
          <w:szCs w:val="44"/>
        </w:rPr>
        <w:t>公告</w:t>
      </w:r>
    </w:p>
    <w:p>
      <w:pPr>
        <w:spacing w:line="594" w:lineRule="exact"/>
        <w:rPr>
          <w:rFonts w:ascii="方正黑体_GBK" w:eastAsia="方正黑体_GBK" w:cs="方正黑体_GBK"/>
          <w:sz w:val="32"/>
          <w:szCs w:val="32"/>
        </w:rPr>
      </w:pPr>
    </w:p>
    <w:p>
      <w:pPr>
        <w:spacing w:line="594" w:lineRule="exact"/>
        <w:rPr>
          <w:rFonts w:ascii="方正黑体_GBK" w:eastAsia="方正黑体_GBK" w:cs="方正黑体_GBK"/>
          <w:sz w:val="32"/>
          <w:szCs w:val="32"/>
        </w:rPr>
      </w:pPr>
      <w:r>
        <w:rPr>
          <w:rFonts w:ascii="方正黑体_GBK" w:eastAsia="方正黑体_GBK" w:cs="方正黑体_GBK" w:hint="eastAsia"/>
          <w:sz w:val="32"/>
          <w:szCs w:val="32"/>
        </w:rPr>
        <w:t>一、项目信息</w:t>
      </w:r>
    </w:p>
    <w:p>
      <w:pPr>
        <w:spacing w:line="594"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采购人：</w:t>
      </w:r>
      <w:r>
        <w:rPr>
          <w:rFonts w:ascii="Times New Roman" w:eastAsia="方正仿宋_GBK" w:cs="Times New Roman" w:hAnsi="Times New Roman" w:hint="eastAsia"/>
          <w:sz w:val="32"/>
          <w:szCs w:val="32"/>
        </w:rPr>
        <w:t xml:space="preserve">重庆三峡银行股份有限公司                         </w:t>
      </w:r>
    </w:p>
    <w:p>
      <w:pPr>
        <w:spacing w:line="594"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项目名称：2025年金融终端项目</w:t>
      </w:r>
      <w:r>
        <w:rPr>
          <w:rFonts w:ascii="Times New Roman" w:eastAsia="方正仿宋_GBK" w:cs="Times New Roman" w:hAnsi="Times New Roman" w:hint="eastAsia"/>
          <w:sz w:val="32"/>
          <w:szCs w:val="32"/>
        </w:rPr>
        <w:t xml:space="preserve">                   </w:t>
      </w:r>
    </w:p>
    <w:p>
      <w:pPr>
        <w:spacing w:line="594"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拟采购的货物或服务的说明：</w:t>
      </w:r>
      <w:r>
        <w:rPr>
          <w:rFonts w:ascii="Times New Roman" w:eastAsia="方正仿宋_GBK" w:cs="Times New Roman" w:hAnsi="Times New Roman" w:hint="eastAsia"/>
          <w:sz w:val="32"/>
          <w:szCs w:val="32"/>
        </w:rPr>
        <w:t>为</w:t>
      </w:r>
      <w:r>
        <w:rPr>
          <w:rFonts w:ascii="Times New Roman" w:eastAsia="方正仿宋_GBK" w:cs="Times New Roman" w:hAnsi="Times New Roman"/>
          <w:sz w:val="32"/>
          <w:szCs w:val="32"/>
        </w:rPr>
        <w:t>进一步契合业务多元发展趋势</w:t>
      </w:r>
      <w:r>
        <w:rPr>
          <w:rFonts w:ascii="Times New Roman" w:eastAsia="方正仿宋_GBK" w:cs="Times New Roman" w:hAnsi="Times New Roman" w:hint="eastAsia"/>
          <w:sz w:val="32"/>
          <w:szCs w:val="32"/>
        </w:rPr>
        <w:t>，</w:t>
      </w:r>
      <w:r>
        <w:rPr>
          <w:rFonts w:ascii="Times New Roman" w:eastAsia="方正仿宋_GBK" w:cs="Times New Roman" w:hAnsi="Times New Roman"/>
          <w:sz w:val="32"/>
          <w:szCs w:val="32"/>
        </w:rPr>
        <w:t>强化风险管理的深度和广度，</w:t>
      </w:r>
      <w:r>
        <w:rPr>
          <w:rFonts w:ascii="Times New Roman" w:eastAsia="方正仿宋_GBK" w:cs="Times New Roman" w:hAnsi="Times New Roman" w:hint="eastAsia"/>
          <w:sz w:val="32"/>
          <w:szCs w:val="32"/>
        </w:rPr>
        <w:t>我行拟</w:t>
      </w:r>
      <w:r>
        <w:rPr>
          <w:rFonts w:ascii="Times New Roman" w:eastAsia="方正仿宋_GBK" w:cs="Times New Roman" w:hAnsi="Times New Roman"/>
          <w:sz w:val="32"/>
          <w:szCs w:val="32"/>
        </w:rPr>
        <w:t>向</w:t>
      </w:r>
      <w:r>
        <w:rPr>
          <w:rFonts w:ascii="Times New Roman" w:eastAsia="方正仿宋_GBK" w:hAnsi="Times New Roman"/>
          <w:sz w:val="32"/>
        </w:rPr>
        <w:t>南京万得咨询科技有限公司直接采购金融终端</w:t>
      </w:r>
      <w:r>
        <w:rPr>
          <w:rFonts w:ascii="Times New Roman" w:eastAsia="方正仿宋_GBK" w:cs="Times New Roman" w:hAnsi="Times New Roman" w:hint="eastAsia"/>
          <w:sz w:val="32"/>
          <w:szCs w:val="32"/>
        </w:rPr>
        <w:t xml:space="preserve">。                     </w:t>
      </w:r>
    </w:p>
    <w:p>
      <w:pPr>
        <w:spacing w:line="594"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拟采购的货物或服务的预算金额：50.46</w:t>
      </w:r>
      <w:r>
        <w:rPr>
          <w:rFonts w:ascii="Times New Roman" w:eastAsia="方正仿宋_GBK" w:cs="Times New Roman" w:hAnsi="Times New Roman" w:hint="eastAsia"/>
          <w:sz w:val="32"/>
          <w:szCs w:val="32"/>
        </w:rPr>
        <w:t>万</w:t>
      </w:r>
      <w:r>
        <w:rPr>
          <w:rFonts w:ascii="Times New Roman" w:eastAsia="方正仿宋_GBK" w:cs="Times New Roman" w:hAnsi="Times New Roman"/>
          <w:sz w:val="32"/>
          <w:szCs w:val="32"/>
        </w:rPr>
        <w:t>元</w:t>
      </w:r>
      <w:r>
        <w:rPr>
          <w:rFonts w:ascii="Times New Roman" w:eastAsia="方正仿宋_GBK" w:cs="Times New Roman" w:hAnsi="Times New Roman" w:hint="eastAsia"/>
          <w:sz w:val="32"/>
          <w:szCs w:val="32"/>
        </w:rPr>
        <w:t xml:space="preserve">                       </w:t>
      </w:r>
    </w:p>
    <w:p>
      <w:pPr>
        <w:spacing w:line="594"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采用直接采购方式的原因及说明：总体上，在金融数据领域，万得公司已建成以金融证券数据为核心一流大型金融工程和财经数据仓库，具有数据库丰富、操作人性化、更新速度快等优势。在宏观数据方面，指标达到500万+，覆盖30万+区县经济数据；在研报方面，是行业唯一整合了所有权威机构研究报告平台；数据标准方面，万得的数据处理经验及数据应用方式均已成为行业的标准；债券分析方面，万得提供第一时间自主加工的债务主体财务报表信息；特色方面，万得独家提供基金方面的factsheet功能，万得独创基于宏观、产业、证券数据联动的研究脑图等等。</w:t>
      </w:r>
    </w:p>
    <w:p>
      <w:pPr>
        <w:spacing w:line="594"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通过对国内金融信息服务行业的调查得知，目前在国内金融信息服务方面，提供全面、及时、完整的金融数据、行情、分析工具的主要供应商有彭博、路透、万得等。经对比，万得公司在国内金融机构用户市场占有率高达90%以上市场占有率，具有绝对优势并且是同类供应商中唯一实现本地化服务的。</w:t>
      </w:r>
    </w:p>
    <w:p>
      <w:pPr>
        <w:spacing w:line="594" w:lineRule="exact"/>
        <w:rPr>
          <w:rFonts w:ascii="方正黑体_GBK" w:eastAsia="方正黑体_GBK" w:cs="方正黑体_GBK"/>
          <w:sz w:val="32"/>
          <w:szCs w:val="32"/>
        </w:rPr>
      </w:pPr>
      <w:r>
        <w:rPr>
          <w:rFonts w:ascii="方正黑体_GBK" w:eastAsia="方正黑体_GBK" w:cs="方正黑体_GBK"/>
          <w:sz w:val="32"/>
          <w:szCs w:val="32"/>
        </w:rPr>
        <w:t>二、拟定供应商信息</w:t>
      </w:r>
      <w:r>
        <w:rPr>
          <w:rFonts w:ascii="方正黑体_GBK" w:eastAsia="方正黑体_GBK" w:cs="方正黑体_GBK" w:hint="eastAsia"/>
          <w:sz w:val="32"/>
          <w:szCs w:val="32"/>
        </w:rPr>
        <w:t xml:space="preserve"> </w:t>
      </w:r>
    </w:p>
    <w:p>
      <w:pPr>
        <w:spacing w:line="594" w:lineRule="exact"/>
        <w:rPr>
          <w:rFonts w:ascii="Times New Roman" w:eastAsia="方正仿宋_GBK" w:cs="Times New Roman" w:hAnsi="Times New Roman"/>
          <w:sz w:val="32"/>
          <w:szCs w:val="32"/>
        </w:rPr>
      </w:pPr>
      <w:r>
        <w:rPr>
          <w:rFonts w:ascii="Times New Roman" w:eastAsia="方正仿宋_GBK" w:cs="Times New Roman" w:hAnsi="Times New Roman" w:hint="eastAsia"/>
          <w:sz w:val="32"/>
          <w:szCs w:val="32"/>
        </w:rPr>
        <w:t>名称：</w:t>
      </w:r>
      <w:r>
        <w:rPr>
          <w:rFonts w:ascii="Times New Roman" w:eastAsia="方正仿宋_GBK" w:hAnsi="Times New Roman"/>
          <w:sz w:val="32"/>
        </w:rPr>
        <w:t>南京万得资讯科技有限公司</w:t>
      </w:r>
      <w:r>
        <w:rPr>
          <w:rFonts w:ascii="Times New Roman" w:eastAsia="方正仿宋_GBK" w:cs="Times New Roman" w:hAnsi="Times New Roman" w:hint="eastAsia"/>
          <w:sz w:val="32"/>
          <w:szCs w:val="32"/>
        </w:rPr>
        <w:t xml:space="preserve">                       </w:t>
      </w:r>
    </w:p>
    <w:p>
      <w:pPr>
        <w:spacing w:line="594" w:lineRule="exact"/>
        <w:rPr>
          <w:rFonts w:ascii="Times New Roman" w:eastAsia="方正仿宋_GBK" w:cs="Times New Roman" w:hAnsi="Times New Roman"/>
          <w:sz w:val="32"/>
          <w:szCs w:val="32"/>
        </w:rPr>
      </w:pPr>
      <w:r>
        <w:rPr>
          <w:rFonts w:ascii="Times New Roman" w:eastAsia="方正仿宋_GBK" w:cs="Times New Roman" w:hAnsi="Times New Roman" w:hint="eastAsia"/>
          <w:sz w:val="32"/>
          <w:szCs w:val="32"/>
        </w:rPr>
        <w:t>地址：</w:t>
      </w:r>
      <w:r>
        <w:rPr>
          <w:rFonts w:ascii="Times New Roman" w:eastAsia="方正仿宋_GBK" w:cs="Times New Roman" w:hAnsi="Times New Roman"/>
          <w:sz w:val="32"/>
          <w:szCs w:val="32"/>
        </w:rPr>
        <w:t>南京市建邺区泰山路199号万得大厦A幢22楼210019</w:t>
      </w:r>
    </w:p>
    <w:p>
      <w:pPr>
        <w:spacing w:line="594" w:lineRule="exact"/>
        <w:rPr>
          <w:rFonts w:ascii="方正黑体_GBK" w:eastAsia="方正黑体_GBK" w:cs="方正黑体_GBK"/>
          <w:sz w:val="32"/>
          <w:szCs w:val="32"/>
        </w:rPr>
      </w:pPr>
      <w:r>
        <w:rPr>
          <w:rFonts w:ascii="方正黑体_GBK" w:eastAsia="方正黑体_GBK" w:cs="方正黑体_GBK"/>
          <w:sz w:val="32"/>
          <w:szCs w:val="32"/>
        </w:rPr>
        <w:t>三、公示期限</w:t>
      </w:r>
    </w:p>
    <w:p>
      <w:pPr>
        <w:spacing w:line="594" w:lineRule="exact"/>
        <w:rPr>
          <w:rFonts w:ascii="方正黑体_GBK" w:eastAsia="方正黑体_GBK" w:cs="方正黑体_GBK"/>
          <w:sz w:val="32"/>
          <w:szCs w:val="32"/>
        </w:rPr>
      </w:pPr>
      <w:r>
        <w:rPr>
          <w:rFonts w:ascii="Times New Roman" w:eastAsia="方正仿宋_GBK" w:cs="Times New Roman" w:hAnsi="Times New Roman"/>
          <w:sz w:val="32"/>
          <w:szCs w:val="32"/>
        </w:rPr>
        <w:t>2025年 3 月</w:t>
      </w:r>
      <w:r>
        <w:rPr>
          <w:rFonts w:ascii="Times New Roman" w:eastAsia="方正仿宋_GBK" w:cs="Times New Roman" w:hAnsi="Times New Roman" w:hint="eastAsia"/>
          <w:sz w:val="32"/>
          <w:szCs w:val="32"/>
        </w:rPr>
        <w:t xml:space="preserve"> </w:t>
      </w:r>
      <w:r>
        <w:rPr>
          <w:rFonts w:ascii="Times New Roman" w:eastAsia="方正仿宋_GBK" w:cs="Times New Roman" w:hAnsi="Times New Roman"/>
          <w:sz w:val="32"/>
          <w:szCs w:val="32"/>
        </w:rPr>
        <w:t>4 日至</w:t>
      </w:r>
      <w:r>
        <w:rPr>
          <w:rFonts w:ascii="Times New Roman" w:eastAsia="方正仿宋_GBK" w:cs="Times New Roman" w:hAnsi="Times New Roman" w:hint="eastAsia"/>
          <w:sz w:val="32"/>
          <w:szCs w:val="32"/>
        </w:rPr>
        <w:t xml:space="preserve"> </w:t>
      </w:r>
      <w:r>
        <w:rPr>
          <w:rFonts w:ascii="Times New Roman" w:eastAsia="方正仿宋_GBK" w:cs="Times New Roman" w:hAnsi="Times New Roman"/>
          <w:sz w:val="32"/>
          <w:szCs w:val="32"/>
        </w:rPr>
        <w:t>2025</w:t>
      </w:r>
      <w:r>
        <w:rPr>
          <w:rFonts w:ascii="Times New Roman" w:eastAsia="方正仿宋_GBK" w:cs="Times New Roman" w:hAnsi="Times New Roman" w:hint="eastAsia"/>
          <w:sz w:val="32"/>
          <w:szCs w:val="32"/>
        </w:rPr>
        <w:t xml:space="preserve"> </w:t>
      </w:r>
      <w:r>
        <w:rPr>
          <w:rFonts w:ascii="Times New Roman" w:eastAsia="方正仿宋_GBK" w:cs="Times New Roman" w:hAnsi="Times New Roman"/>
          <w:sz w:val="32"/>
          <w:szCs w:val="32"/>
        </w:rPr>
        <w:t>年</w:t>
      </w:r>
      <w:r>
        <w:rPr>
          <w:rFonts w:ascii="Times New Roman" w:eastAsia="方正仿宋_GBK" w:cs="Times New Roman" w:hAnsi="Times New Roman" w:hint="eastAsia"/>
          <w:sz w:val="32"/>
          <w:szCs w:val="32"/>
        </w:rPr>
        <w:t xml:space="preserve"> </w:t>
      </w:r>
      <w:r>
        <w:rPr>
          <w:rFonts w:ascii="Times New Roman" w:eastAsia="方正仿宋_GBK" w:cs="Times New Roman" w:hAnsi="Times New Roman"/>
          <w:sz w:val="32"/>
          <w:szCs w:val="32"/>
        </w:rPr>
        <w:t>3 月 11</w:t>
      </w:r>
      <w:r>
        <w:rPr>
          <w:rFonts w:ascii="Times New Roman" w:eastAsia="方正仿宋_GBK" w:cs="Times New Roman" w:hAnsi="Times New Roman" w:hint="eastAsia"/>
          <w:sz w:val="32"/>
          <w:szCs w:val="32"/>
        </w:rPr>
        <w:t xml:space="preserve"> </w:t>
      </w:r>
      <w:r>
        <w:rPr>
          <w:rFonts w:ascii="Times New Roman" w:eastAsia="方正仿宋_GBK" w:cs="Times New Roman" w:hAnsi="Times New Roman"/>
          <w:sz w:val="32"/>
          <w:szCs w:val="32"/>
        </w:rPr>
        <w:t>日（公示期限不得少于5个工作日）</w:t>
      </w:r>
    </w:p>
    <w:p>
      <w:pPr>
        <w:spacing w:line="594" w:lineRule="exact"/>
        <w:rPr>
          <w:rFonts w:ascii="方正黑体_GBK" w:eastAsia="方正黑体_GBK" w:cs="方正黑体_GBK"/>
          <w:sz w:val="32"/>
          <w:szCs w:val="32"/>
        </w:rPr>
      </w:pPr>
      <w:r>
        <w:rPr>
          <w:rFonts w:ascii="方正黑体_GBK" w:eastAsia="方正黑体_GBK" w:cs="方正黑体_GBK" w:hint="eastAsia"/>
          <w:sz w:val="32"/>
          <w:szCs w:val="32"/>
        </w:rPr>
        <w:t>四</w:t>
      </w:r>
      <w:r>
        <w:rPr>
          <w:rFonts w:ascii="方正黑体_GBK" w:eastAsia="方正黑体_GBK" w:cs="方正黑体_GBK"/>
          <w:sz w:val="32"/>
          <w:szCs w:val="32"/>
        </w:rPr>
        <w:t>、</w:t>
      </w:r>
      <w:r>
        <w:rPr>
          <w:rFonts w:ascii="方正黑体_GBK" w:eastAsia="方正黑体_GBK" w:cs="方正黑体_GBK" w:hint="eastAsia"/>
          <w:sz w:val="32"/>
          <w:szCs w:val="32"/>
        </w:rPr>
        <w:t>其他补充事宜</w:t>
      </w:r>
    </w:p>
    <w:p>
      <w:pPr>
        <w:spacing w:line="594" w:lineRule="exact"/>
        <w:rPr>
          <w:rFonts w:ascii="方正黑体_GBK" w:eastAsia="方正黑体_GBK" w:cs="方正黑体_GBK"/>
          <w:sz w:val="32"/>
          <w:szCs w:val="32"/>
        </w:rPr>
      </w:pPr>
      <w:r>
        <w:rPr>
          <w:rFonts w:ascii="方正黑体_GBK" w:eastAsia="方正黑体_GBK" w:cs="方正黑体_GBK"/>
          <w:sz w:val="32"/>
          <w:szCs w:val="32"/>
        </w:rPr>
        <w:t>无</w:t>
      </w:r>
    </w:p>
    <w:p>
      <w:pPr>
        <w:spacing w:line="594" w:lineRule="exact"/>
        <w:rPr>
          <w:rFonts w:ascii="方正黑体_GBK" w:eastAsia="方正黑体_GBK" w:cs="方正黑体_GBK"/>
          <w:sz w:val="32"/>
          <w:szCs w:val="32"/>
        </w:rPr>
      </w:pPr>
      <w:r>
        <w:rPr>
          <w:rFonts w:ascii="方正黑体_GBK" w:eastAsia="方正黑体_GBK" w:cs="方正黑体_GBK" w:hint="eastAsia"/>
          <w:sz w:val="32"/>
          <w:szCs w:val="32"/>
        </w:rPr>
        <w:t>五、</w:t>
      </w:r>
      <w:r>
        <w:rPr>
          <w:rFonts w:ascii="方正黑体_GBK" w:eastAsia="方正黑体_GBK" w:cs="方正黑体_GBK"/>
          <w:sz w:val="32"/>
          <w:szCs w:val="32"/>
        </w:rPr>
        <w:t>联系方式</w:t>
      </w:r>
    </w:p>
    <w:p>
      <w:pPr>
        <w:spacing w:line="594"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1.采购人</w:t>
      </w:r>
    </w:p>
    <w:p>
      <w:pPr>
        <w:spacing w:line="594"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机构名称：</w:t>
      </w:r>
      <w:r>
        <w:rPr>
          <w:rFonts w:ascii="Times New Roman" w:eastAsia="方正仿宋_GBK" w:cs="Times New Roman" w:hAnsi="Times New Roman" w:hint="eastAsia"/>
          <w:sz w:val="32"/>
          <w:szCs w:val="32"/>
        </w:rPr>
        <w:t xml:space="preserve"> 重庆三峡银行股份有限公司 </w:t>
      </w:r>
    </w:p>
    <w:p>
      <w:pPr>
        <w:spacing w:line="594"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联 系 人：</w:t>
      </w:r>
      <w:r>
        <w:rPr>
          <w:rFonts w:ascii="Times New Roman" w:eastAsia="方正仿宋_GBK" w:cs="Times New Roman" w:hAnsi="Times New Roman" w:hint="eastAsia"/>
          <w:sz w:val="32"/>
          <w:szCs w:val="32"/>
        </w:rPr>
        <w:t xml:space="preserve"> </w:t>
      </w:r>
      <w:r>
        <w:rPr>
          <w:rFonts w:ascii="Times New Roman" w:eastAsia="方正仿宋_GBK" w:cs="Times New Roman" w:hAnsi="Times New Roman"/>
          <w:sz w:val="32"/>
          <w:szCs w:val="32"/>
        </w:rPr>
        <w:t xml:space="preserve">    杨漪</w:t>
      </w:r>
      <w:r>
        <w:rPr>
          <w:rFonts w:ascii="Times New Roman" w:eastAsia="方正仿宋_GBK" w:cs="Times New Roman" w:hAnsi="Times New Roman" w:hint="eastAsia"/>
          <w:sz w:val="32"/>
          <w:szCs w:val="32"/>
        </w:rPr>
        <w:t xml:space="preserve">  </w:t>
      </w:r>
      <w:r>
        <w:rPr>
          <w:rFonts w:ascii="Times New Roman" w:eastAsia="方正仿宋_GBK" w:cs="Times New Roman" w:hAnsi="Times New Roman"/>
          <w:sz w:val="32"/>
          <w:szCs w:val="32"/>
        </w:rPr>
        <w:t xml:space="preserve">             任豪</w:t>
      </w:r>
      <w:r>
        <w:rPr>
          <w:rFonts w:ascii="Times New Roman" w:eastAsia="方正仿宋_GBK" w:cs="Times New Roman" w:hAnsi="Times New Roman" w:hint="eastAsia"/>
          <w:sz w:val="32"/>
          <w:szCs w:val="32"/>
        </w:rPr>
        <w:t xml:space="preserve"> </w:t>
      </w:r>
    </w:p>
    <w:p>
      <w:pPr>
        <w:spacing w:line="594"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采购咨询电话：88890381     业务咨询电话：</w:t>
      </w:r>
      <w:r>
        <w:rPr>
          <w:rFonts w:ascii="Times New Roman" w:eastAsia="方正仿宋_GBK" w:cs="Times New Roman" w:hAnsi="Times New Roman" w:hint="eastAsia"/>
          <w:sz w:val="32"/>
          <w:szCs w:val="32"/>
        </w:rPr>
        <w:t>88890</w:t>
      </w:r>
      <w:r>
        <w:rPr>
          <w:rFonts w:ascii="Times New Roman" w:eastAsia="方正仿宋_GBK" w:cs="Times New Roman" w:hAnsi="Times New Roman"/>
          <w:sz w:val="32"/>
          <w:szCs w:val="32"/>
        </w:rPr>
        <w:t>291</w:t>
      </w:r>
    </w:p>
    <w:p>
      <w:pPr>
        <w:spacing w:line="594" w:lineRule="exact"/>
        <w:rPr>
          <w:rFonts w:ascii="方正黑体_GBK" w:eastAsia="方正黑体_GBK" w:cs="方正黑体_GBK"/>
          <w:sz w:val="32"/>
          <w:szCs w:val="32"/>
        </w:rPr>
      </w:pPr>
      <w:r>
        <w:rPr>
          <w:rFonts w:ascii="方正黑体_GBK" w:eastAsia="方正黑体_GBK" w:cs="方正黑体_GBK" w:hint="eastAsia"/>
          <w:sz w:val="32"/>
          <w:szCs w:val="32"/>
        </w:rPr>
        <w:t>六、专家信息</w:t>
      </w:r>
    </w:p>
    <w:p>
      <w:pPr>
        <w:spacing w:line="594" w:lineRule="exact"/>
        <w:rPr>
          <w:rFonts w:ascii="方正黑体_GBK" w:eastAsia="方正黑体_GBK" w:cs="方正黑体_GBK"/>
          <w:sz w:val="32"/>
          <w:szCs w:val="32"/>
        </w:rPr>
      </w:pPr>
      <w:r>
        <w:rPr>
          <w:rFonts w:ascii="方正黑体_GBK" w:eastAsia="方正黑体_GBK" w:cs="方正黑体_GBK"/>
          <w:sz w:val="32"/>
          <w:szCs w:val="32"/>
        </w:rPr>
        <w:t>无</w:t>
      </w:r>
    </w:p>
    <w:p>
      <w:pPr>
        <w:spacing w:line="594" w:lineRule="exact"/>
        <w:rPr>
          <w:rFonts w:ascii="方正黑体_GBK" w:eastAsia="方正黑体_GBK" w:cs="方正黑体_GBK"/>
          <w:sz w:val="32"/>
          <w:szCs w:val="32"/>
        </w:rPr>
      </w:pPr>
      <w:r>
        <w:rPr>
          <w:rFonts w:ascii="方正黑体_GBK" w:eastAsia="方正黑体_GBK" w:cs="方正黑体_GBK" w:hint="eastAsia"/>
          <w:sz w:val="32"/>
          <w:szCs w:val="32"/>
        </w:rPr>
        <w:t>七、附件</w:t>
      </w:r>
    </w:p>
    <w:p>
      <w:pPr>
        <w:spacing w:line="594" w:lineRule="exact"/>
        <w:rPr>
          <w:rFonts w:ascii="方正黑体_GBK" w:eastAsia="方正黑体_GBK" w:cs="方正黑体_GBK"/>
          <w:sz w:val="32"/>
          <w:szCs w:val="32"/>
        </w:rPr>
      </w:pPr>
      <w:r>
        <w:rPr>
          <w:rFonts w:ascii="方正黑体_GBK" w:eastAsia="方正黑体_GBK" w:cs="方正黑体_GBK"/>
          <w:sz w:val="32"/>
          <w:szCs w:val="32"/>
        </w:rPr>
        <w:t>无</w:t>
      </w:r>
    </w:p>
    <w:sectPr>
      <w:pgSz w:w="11906" w:h="16838"/>
      <w:pgMar w:top="1984" w:right="1446" w:bottom="1644" w:left="1446" w:header="851" w:footer="992" w:gutter="0"/>
      <w:cols w:num="1" w:space="72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方正黑体_GBK">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宋体">
    <w:altName w:val="华文宋体"/>
    <w:panose1 w:val="02010600030101010101"/>
    <w:charset w:val="86"/>
    <w:family w:val="auto"/>
    <w:pitch w:val="variable"/>
    <w:sig w:usb0="00000003" w:usb1="288F0000" w:usb2="00000016" w:usb3="00000000" w:csb0="00040001" w:csb1="00000000"/>
  </w:font>
  <w:font w:name="Lucida Sans">
    <w:panose1 w:val="020B0602030504020204"/>
    <w:charset w:val="00"/>
    <w:family w:val="auto"/>
    <w:pitch w:val="variable"/>
    <w:sig w:usb0="00000003" w:usb1="00000000" w:usb2="00000000" w:usb3="00000000" w:csb0="20000001" w:csb1="00000000"/>
  </w:font>
  <w:font w:name="Calibri">
    <w:altName w:val="Times New Roman"/>
    <w:panose1 w:val="020F0502020204030204"/>
    <w:charset w:val="00"/>
    <w:family w:val="swiss"/>
    <w:pitch w:val="variable"/>
    <w:sig w:usb0="E4002EFF" w:usb1="C000247B" w:usb2="00000009" w:usb3="00000000" w:csb0="000001FF" w:csb1="00000000"/>
  </w:font>
  <w:font w:name="Arial">
    <w:altName w:val="DejaVu Sans"/>
    <w:panose1 w:val="020B0604020202020204"/>
    <w:charset w:val="00"/>
    <w:family w:val="swiss"/>
    <w:pitch w:val="variable"/>
    <w:sig w:usb0="E0002EFF" w:usb1="C000785B" w:usb2="00000009" w:usb3="00000000" w:csb0="000001FF" w:csb1="00000000"/>
  </w:font>
  <w:font w:name="黑体">
    <w:altName w:val="方正黑体_GBK"/>
    <w:panose1 w:val="00000000000000000000"/>
    <w:charset w:val="00"/>
    <w:family w:val="auto"/>
    <w:pitch w:val="variable"/>
    <w:sig w:usb0="00000000" w:usb1="00000000" w:usb2="00000000" w:usb3="00000000" w:csb0="00000000"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bordersDoNotSurroundHeader/>
  <w:bordersDoNotSurroundFooter/>
  <w:defaultTabStop w:val="420"/>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basedOn w:val="0"/>
    <w:next w:val="0"/>
    <w:pPr>
      <w:keepNext/>
      <w:keepLines/>
      <w:spacing w:before="340" w:after="330" w:line="578" w:lineRule="auto"/>
      <w:outlineLvl w:val="0"/>
    </w:pPr>
    <w:rPr>
      <w:b/>
      <w:bCs/>
      <w:kern w:val="44"/>
      <w:sz w:val="44"/>
      <w:szCs w:val="44"/>
    </w:rPr>
  </w:style>
  <w:style w:type="paragraph" w:styleId="2">
    <w:name w:val="heading 2"/>
    <w:basedOn w:val="0"/>
    <w:next w:val="0"/>
    <w:pPr>
      <w:keepNext/>
      <w:keepLines/>
      <w:spacing w:before="260" w:after="260" w:line="415" w:lineRule="auto"/>
      <w:outlineLvl w:val="1"/>
    </w:pPr>
    <w:rPr>
      <w:rFonts w:ascii="Times New Roman" w:eastAsia="黑体" w:hAnsi="Times New Roman"/>
      <w:b/>
      <w:bCs/>
      <w:sz w:val="32"/>
      <w:szCs w:val="32"/>
    </w:rPr>
  </w:style>
  <w:style w:type="paragraph" w:styleId="3">
    <w:name w:val="heading 3"/>
    <w:basedOn w:val="0"/>
    <w:next w:val="0"/>
    <w:pPr>
      <w:spacing w:beforeAutospacing="1" w:afterAutospacing="1"/>
      <w:jc w:val="left"/>
      <w:outlineLvl w:val="2"/>
    </w:pPr>
    <w:rPr>
      <w:rFonts w:ascii="宋体" w:cs="Times New Roman"/>
      <w:b/>
      <w:bCs/>
      <w:kern w:val="0"/>
      <w:sz w:val="27"/>
      <w:szCs w:val="27"/>
    </w:rPr>
  </w:style>
  <w:style w:type="character" w:default="1" w:styleId="10">
    <w:name w:val="Default Paragraph Font"/>
  </w:style>
  <w:style w:type="paragraph" w:styleId="15">
    <w:name w:val="Normal (Web)"/>
    <w:basedOn w:val="0"/>
    <w:pPr>
      <w:spacing w:beforeAutospacing="1" w:afterAutospacing="1"/>
      <w:jc w:val="left"/>
    </w:pPr>
    <w:rPr>
      <w:rFonts w:cs="Times New Roman"/>
      <w:kern w:val="0"/>
      <w:sz w:val="24"/>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customXml" Target="../customXml/item1.xml"/></Relationship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2052-12.1.0.15712</vt:lpwstr>
  </property>
  <property fmtid="{D5CDD505-2E9C-101B-9397-08002B2CF9AE}" pid="3" name="ICV">
    <vt:lpwstr>04FC9CD5ACEC4A1EA3C6532A6421F9D6_13</vt:lpwstr>
  </property>
</Properties>
</file>